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teroperability-system-contracts"/>
    <w:p>
      <w:pPr>
        <w:pStyle w:val="Heading1"/>
      </w:pPr>
      <w:r>
        <w:t xml:space="preserve">5. Interoperability &amp; System Contracts</w:t>
      </w:r>
    </w:p>
    <w:p>
      <w:pPr>
        <w:pStyle w:val="FirstParagraph"/>
      </w:pPr>
      <w:r>
        <w:t xml:space="preserve">SynQ is designed to operate within a multi‑chain universe.</w:t>
      </w:r>
      <w:r>
        <w:t xml:space="preserve"> </w:t>
      </w:r>
      <w:r>
        <w:t xml:space="preserve">Contracts must be able to react to events on external</w:t>
      </w:r>
      <w:r>
        <w:t xml:space="preserve"> </w:t>
      </w:r>
      <w:r>
        <w:t xml:space="preserve">blockchains and to post messages across chains. This</w:t>
      </w:r>
      <w:r>
        <w:t xml:space="preserve"> </w:t>
      </w:r>
      <w:r>
        <w:t xml:space="preserve">section defines the cross‑chain messaging architecture,</w:t>
      </w:r>
      <w:r>
        <w:t xml:space="preserve"> </w:t>
      </w:r>
      <w:r>
        <w:t xml:space="preserve">system‑provided contracts, and best practices for building</w:t>
      </w:r>
      <w:r>
        <w:t xml:space="preserve"> </w:t>
      </w:r>
      <w:r>
        <w:t xml:space="preserve">interoperable applications.</w:t>
      </w:r>
    </w:p>
    <w:bookmarkStart w:id="20" w:name="crosschain-messaging-architecture"/>
    <w:p>
      <w:pPr>
        <w:pStyle w:val="Heading2"/>
      </w:pPr>
      <w:r>
        <w:t xml:space="preserve">5.1 Cross‑Chain Messaging Architecture</w:t>
      </w:r>
    </w:p>
    <w:p>
      <w:pPr>
        <w:pStyle w:val="FirstParagraph"/>
      </w:pPr>
      <w:r>
        <w:t xml:space="preserve">SynQ leverages a</w:t>
      </w:r>
      <w:r>
        <w:t xml:space="preserve"> </w:t>
      </w:r>
      <w:r>
        <w:rPr>
          <w:bCs/>
          <w:b/>
        </w:rPr>
        <w:t xml:space="preserve">Synergy Cross‑Chain Protocol (SXCP)</w:t>
      </w:r>
      <w:r>
        <w:t xml:space="preserve"> </w:t>
      </w:r>
      <w:r>
        <w:t xml:space="preserve">to</w:t>
      </w:r>
      <w:r>
        <w:t xml:space="preserve"> </w:t>
      </w:r>
      <w:r>
        <w:t xml:space="preserve">deliver authenticated messages between chains. Messages</w:t>
      </w:r>
      <w:r>
        <w:t xml:space="preserve"> </w:t>
      </w:r>
      <w:r>
        <w:t xml:space="preserve">traverse the following pipeline: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detection</w:t>
      </w:r>
      <w:r>
        <w:t xml:space="preserve"> </w:t>
      </w:r>
      <w:r>
        <w:t xml:space="preserve">on the source chain via a relayer</w:t>
      </w:r>
      <w:r>
        <w:t xml:space="preserve"> </w:t>
      </w:r>
      <w:r>
        <w:t xml:space="preserve">network. Relayers monitor the source chain for events</w:t>
      </w:r>
      <w:r>
        <w:t xml:space="preserve"> </w:t>
      </w:r>
      <w:r>
        <w:t xml:space="preserve">addressed to SynQ contracts.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Proof generation</w:t>
      </w:r>
      <w:r>
        <w:t xml:space="preserve"> </w:t>
      </w:r>
      <w:r>
        <w:t xml:space="preserve">using PQC signatures and</w:t>
      </w:r>
      <w:r>
        <w:t xml:space="preserve"> </w:t>
      </w:r>
      <w:r>
        <w:t xml:space="preserve">cryptographic proofs of state (e.g., Merkle proofs).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Aggregation</w:t>
      </w:r>
      <w:r>
        <w:t xml:space="preserve"> </w:t>
      </w:r>
      <w:r>
        <w:t xml:space="preserve">of relayer signatures into a threshold</w:t>
      </w:r>
      <w:r>
        <w:t xml:space="preserve"> </w:t>
      </w:r>
      <w:r>
        <w:t xml:space="preserve">signature (Aegis or composite). A (t)-of-(k) quorum</w:t>
      </w:r>
      <w:r>
        <w:t xml:space="preserve"> </w:t>
      </w:r>
      <w:r>
        <w:t xml:space="preserve">ensures fault tolerance (§3.5).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</w:t>
      </w:r>
      <w:r>
        <w:t xml:space="preserve"> </w:t>
      </w:r>
      <w:r>
        <w:t xml:space="preserve">to the destination chain via a system</w:t>
      </w:r>
      <w:r>
        <w:t xml:space="preserve"> </w:t>
      </w:r>
      <w:r>
        <w:t xml:space="preserve">contract (the</w:t>
      </w:r>
      <w:r>
        <w:t xml:space="preserve"> </w:t>
      </w:r>
      <w:r>
        <w:rPr>
          <w:bCs/>
          <w:b/>
        </w:rPr>
        <w:t xml:space="preserve">Bridge</w:t>
      </w:r>
      <w:r>
        <w:t xml:space="preserve">). The Bridge verifies proofs</w:t>
      </w:r>
      <w:r>
        <w:t xml:space="preserve"> </w:t>
      </w:r>
      <w:r>
        <w:t xml:space="preserve">and signatures and routes the message to the target</w:t>
      </w:r>
      <w:r>
        <w:t xml:space="preserve"> </w:t>
      </w:r>
      <w:r>
        <w:t xml:space="preserve">contract.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Processing</w:t>
      </w:r>
      <w:r>
        <w:t xml:space="preserve"> </w:t>
      </w:r>
      <w:r>
        <w:t xml:space="preserve">by the destination contract, which must</w:t>
      </w:r>
      <w:r>
        <w:t xml:space="preserve"> </w:t>
      </w:r>
      <w:r>
        <w:t xml:space="preserve">validate the payload and update its state accordingly.</w:t>
      </w:r>
    </w:p>
    <w:p>
      <w:pPr>
        <w:pStyle w:val="FirstParagraph"/>
      </w:pPr>
      <w:r>
        <w:t xml:space="preserve">The message format is versioned and includes metadata</w:t>
      </w:r>
      <w:r>
        <w:t xml:space="preserve"> </w:t>
      </w:r>
      <w:r>
        <w:t xml:space="preserve">fields such as the source chain ID, the address of the</w:t>
      </w:r>
      <w:r>
        <w:t xml:space="preserve"> </w:t>
      </w:r>
      <w:r>
        <w:t xml:space="preserve">originating contract, the event nonce, and the payload.</w:t>
      </w:r>
      <w:r>
        <w:t xml:space="preserve"> </w:t>
      </w:r>
      <w:r>
        <w:t xml:space="preserve">Messages are hashed using</w:t>
      </w:r>
      <w:r>
        <w:t xml:space="preserve"> </w:t>
      </w:r>
      <w:r>
        <w:rPr>
          <w:rStyle w:val="VerbatimChar"/>
        </w:rPr>
        <w:t xml:space="preserve">SHA3-256</w:t>
      </w:r>
      <w:r>
        <w:t xml:space="preserve"> </w:t>
      </w:r>
      <w:r>
        <w:t xml:space="preserve">and signed by the</w:t>
      </w:r>
      <w:r>
        <w:t xml:space="preserve"> </w:t>
      </w:r>
      <w:r>
        <w:t xml:space="preserve">relayer quorum. A failed verification results in a</w:t>
      </w:r>
      <w:r>
        <w:t xml:space="preserve"> </w:t>
      </w:r>
      <w:r>
        <w:t xml:space="preserve">revert.</w:t>
      </w:r>
    </w:p>
    <w:bookmarkEnd w:id="20"/>
    <w:bookmarkStart w:id="21" w:name="bridge-contracts-proof-formats"/>
    <w:p>
      <w:pPr>
        <w:pStyle w:val="Heading2"/>
      </w:pPr>
      <w:r>
        <w:t xml:space="preserve">5.2 Bridge Contracts &amp; Proof Formats</w:t>
      </w:r>
    </w:p>
    <w:p>
      <w:pPr>
        <w:pStyle w:val="FirstParagraph"/>
      </w:pPr>
      <w:r>
        <w:t xml:space="preserve">Bridge contracts implement standard interfaces for</w:t>
      </w:r>
      <w:r>
        <w:t xml:space="preserve"> </w:t>
      </w:r>
      <w:r>
        <w:t xml:space="preserve">submitting proofs. A typical interface may include: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function submitProof(</w:t>
      </w:r>
      <w:r>
        <w:br/>
      </w:r>
      <w:r>
        <w:rPr>
          <w:rStyle w:val="VerbatimChar"/>
        </w:rPr>
        <w:t xml:space="preserve">    sourceChain: UInt256,</w:t>
      </w:r>
      <w:r>
        <w:br/>
      </w:r>
      <w:r>
        <w:rPr>
          <w:rStyle w:val="VerbatimChar"/>
        </w:rPr>
        <w:t xml:space="preserve">    sourceAddress: Address,</w:t>
      </w:r>
      <w:r>
        <w:br/>
      </w:r>
      <w:r>
        <w:rPr>
          <w:rStyle w:val="VerbatimChar"/>
        </w:rPr>
        <w:t xml:space="preserve">    payload: Bytes,</w:t>
      </w:r>
      <w:r>
        <w:br/>
      </w:r>
      <w:r>
        <w:rPr>
          <w:rStyle w:val="VerbatimChar"/>
        </w:rPr>
        <w:t xml:space="preserve">    relayerSignatures: DilithiumSignature&lt;3&gt;[]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require(verify_threshold(relayerSignatures, payload), "Bad signature");</w:t>
      </w:r>
      <w:r>
        <w:br/>
      </w:r>
      <w:r>
        <w:rPr>
          <w:rStyle w:val="VerbatimChar"/>
        </w:rPr>
        <w:t xml:space="preserve">    // Verify Merkle or finality proof</w:t>
      </w:r>
      <w:r>
        <w:br/>
      </w:r>
      <w:r>
        <w:rPr>
          <w:rStyle w:val="VerbatimChar"/>
        </w:rPr>
        <w:t xml:space="preserve">    require(verify_external_proof(sourceChain, payload), "Bad proof");</w:t>
      </w:r>
      <w:r>
        <w:br/>
      </w:r>
      <w:r>
        <w:rPr>
          <w:rStyle w:val="VerbatimChar"/>
        </w:rPr>
        <w:t xml:space="preserve">    // Route message</w:t>
      </w:r>
      <w:r>
        <w:br/>
      </w:r>
      <w:r>
        <w:rPr>
          <w:rStyle w:val="VerbatimChar"/>
        </w:rPr>
        <w:t xml:space="preserve">    dispatch(payload);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Proof formats depend on the source chain: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chains (e.g., Synergy sidechains, Solana)</w:t>
      </w:r>
      <w:r>
        <w:t xml:space="preserve"> </w:t>
      </w:r>
      <w:r>
        <w:t xml:space="preserve">provide finality signatures that are aggregated via</w:t>
      </w:r>
      <w:r>
        <w:t xml:space="preserve"> </w:t>
      </w:r>
      <w:r>
        <w:t xml:space="preserve">threshold Aegis signatures.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Probabilistic chains (e.g., Bitcoin, Ethereum)</w:t>
      </w:r>
      <w:r>
        <w:t xml:space="preserve"> </w:t>
      </w:r>
      <w:r>
        <w:t xml:space="preserve">require</w:t>
      </w:r>
      <w:r>
        <w:t xml:space="preserve"> </w:t>
      </w:r>
      <w:r>
        <w:t xml:space="preserve">Merkle proofs of inclusion and a waiting period for</w:t>
      </w:r>
      <w:r>
        <w:t xml:space="preserve"> </w:t>
      </w:r>
      <w:r>
        <w:t xml:space="preserve">block depth (§5.3).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 application chains</w:t>
      </w:r>
      <w:r>
        <w:t xml:space="preserve"> </w:t>
      </w:r>
      <w:r>
        <w:t xml:space="preserve">can define their own proof</w:t>
      </w:r>
      <w:r>
        <w:t xml:space="preserve"> </w:t>
      </w:r>
      <w:r>
        <w:t xml:space="preserve">schemes provided they are cryptographically secure and</w:t>
      </w:r>
      <w:r>
        <w:t xml:space="preserve"> </w:t>
      </w:r>
      <w:r>
        <w:t xml:space="preserve">gas‑bounded.</w:t>
      </w:r>
    </w:p>
    <w:bookmarkEnd w:id="21"/>
    <w:bookmarkStart w:id="22" w:name="external-chain-assumptions"/>
    <w:p>
      <w:pPr>
        <w:pStyle w:val="Heading2"/>
      </w:pPr>
      <w:r>
        <w:t xml:space="preserve">5.3 External Chain Assumptions</w:t>
      </w:r>
    </w:p>
    <w:p>
      <w:pPr>
        <w:pStyle w:val="FirstParagraph"/>
      </w:pPr>
      <w:r>
        <w:t xml:space="preserve">For each external chain (C_i), SynQ defines parameters</w:t>
      </w:r>
      <w:r>
        <w:t xml:space="preserve"> </w:t>
      </w:r>
      <w:r>
        <w:t xml:space="preserve">similar to those in the PoSy specification (§1.1):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Finality type:</w:t>
      </w:r>
      <w:r>
        <w:t xml:space="preserve"> </w:t>
      </w:r>
      <w:r>
        <w:t xml:space="preserve">deterministic vs. probabilistic.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Reorg depth</w:t>
      </w:r>
      <w:r>
        <w:t xml:space="preserve"> </w:t>
      </w:r>
      <w:r>
        <w:t xml:space="preserve">(ρ_i): maximum number of blocks that</w:t>
      </w:r>
      <w:r>
        <w:t xml:space="preserve"> </w:t>
      </w:r>
      <w:r>
        <w:t xml:space="preserve">may be reversed without causing message invalidation.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Block time</w:t>
      </w:r>
      <w:r>
        <w:t xml:space="preserve"> </w:t>
      </w:r>
      <w:r>
        <w:t xml:space="preserve">(τ_{b,i}): average time between blocks.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Finality latency</w:t>
      </w:r>
      <w:r>
        <w:t xml:space="preserve"> </w:t>
      </w:r>
      <w:r>
        <w:t xml:space="preserve">(τ_i): time required to consider</w:t>
      </w:r>
      <w:r>
        <w:t xml:space="preserve"> </w:t>
      </w:r>
      <w:r>
        <w:t xml:space="preserve">a block final (e.g., 6 confirmations on Bitcoin).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 format:</w:t>
      </w:r>
      <w:r>
        <w:t xml:space="preserve"> </w:t>
      </w:r>
      <w:r>
        <w:t xml:space="preserve">type of proof expected from relayers.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Relayer quorum size</w:t>
      </w:r>
      <w:r>
        <w:t xml:space="preserve"> </w:t>
      </w:r>
      <w:r>
        <w:t xml:space="preserve">(k) and threshold (t).</w:t>
      </w:r>
    </w:p>
    <w:p>
      <w:pPr>
        <w:pStyle w:val="FirstParagraph"/>
      </w:pPr>
      <w:r>
        <w:t xml:space="preserve">These parameters are encoded in the Bridge contract and may</w:t>
      </w:r>
      <w:r>
        <w:t xml:space="preserve"> </w:t>
      </w:r>
      <w:r>
        <w:t xml:space="preserve">be updated via governance. Contracts should not hard‑code</w:t>
      </w:r>
      <w:r>
        <w:t xml:space="preserve"> </w:t>
      </w:r>
      <w:r>
        <w:t xml:space="preserve">them but query the Bridge for current values.</w:t>
      </w:r>
    </w:p>
    <w:bookmarkEnd w:id="22"/>
    <w:bookmarkStart w:id="23" w:name="X1356bb45c5ab59e860dcec42a552456a9b03aa3"/>
    <w:p>
      <w:pPr>
        <w:pStyle w:val="Heading2"/>
      </w:pPr>
      <w:r>
        <w:t xml:space="preserve">5.4 PQC Requirements for Cross‑Chain Operations</w:t>
      </w:r>
    </w:p>
    <w:p>
      <w:pPr>
        <w:pStyle w:val="FirstParagraph"/>
      </w:pPr>
      <w:r>
        <w:t xml:space="preserve">Cross‑chain messages carry high stakes. SynQ mandates</w:t>
      </w:r>
      <w:r>
        <w:t xml:space="preserve"> </w:t>
      </w:r>
      <w:r>
        <w:t xml:space="preserve">PQC signatures for all relayer attestations. Relayers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PQAuth</w:t>
      </w:r>
      <w:r>
        <w:t xml:space="preserve"> </w:t>
      </w:r>
      <w:r>
        <w:t xml:space="preserve">keys with the Bridge and must rotate</w:t>
      </w:r>
      <w:r>
        <w:t xml:space="preserve"> </w:t>
      </w:r>
      <w:r>
        <w:t xml:space="preserve">them periodically. Composite signatures ensure that if one</w:t>
      </w:r>
      <w:r>
        <w:t xml:space="preserve"> </w:t>
      </w:r>
      <w:r>
        <w:t xml:space="preserve">scheme is broken, the other still protects the message.</w:t>
      </w:r>
    </w:p>
    <w:p>
      <w:pPr>
        <w:pStyle w:val="BodyText"/>
      </w:pPr>
      <w:r>
        <w:t xml:space="preserve">When generating proofs, relayers sign the</w:t>
      </w:r>
      <w:r>
        <w:t xml:space="preserve"> </w:t>
      </w:r>
      <w:r>
        <w:rPr>
          <w:bCs/>
          <w:b/>
        </w:rPr>
        <w:t xml:space="preserve">message ID</w:t>
      </w:r>
      <w:r>
        <w:t xml:space="preserve"> </w:t>
      </w:r>
      <w:r>
        <w:t xml:space="preserve">(hash of the payload and metadata) rather than the</w:t>
      </w:r>
      <w:r>
        <w:t xml:space="preserve"> </w:t>
      </w:r>
      <w:r>
        <w:t xml:space="preserve">payload itself. This prevents malleability and ensures</w:t>
      </w:r>
      <w:r>
        <w:t xml:space="preserve"> </w:t>
      </w:r>
      <w:r>
        <w:t xml:space="preserve">that signatures remain valid even if the payload is</w:t>
      </w:r>
      <w:r>
        <w:t xml:space="preserve"> </w:t>
      </w:r>
      <w:r>
        <w:t xml:space="preserve">encoded differently.</w:t>
      </w:r>
    </w:p>
    <w:bookmarkEnd w:id="23"/>
    <w:bookmarkStart w:id="24" w:name="onchain-oracles-witnesses"/>
    <w:p>
      <w:pPr>
        <w:pStyle w:val="Heading2"/>
      </w:pPr>
      <w:r>
        <w:t xml:space="preserve">5.5 On‑Chain Oracles &amp; Witnesses</w:t>
      </w:r>
    </w:p>
    <w:p>
      <w:pPr>
        <w:pStyle w:val="FirstParagraph"/>
      </w:pPr>
      <w:r>
        <w:t xml:space="preserve">Some external events cannot be verified via on‑chain</w:t>
      </w:r>
      <w:r>
        <w:t xml:space="preserve"> </w:t>
      </w:r>
      <w:r>
        <w:t xml:space="preserve">proofs (e.g., real‑world data feeds). SynQ allows</w:t>
      </w:r>
      <w:r>
        <w:t xml:space="preserve"> </w:t>
      </w:r>
      <w:r>
        <w:rPr>
          <w:bCs/>
          <w:b/>
        </w:rPr>
        <w:t xml:space="preserve">oracles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witnesses</w:t>
      </w:r>
      <w:r>
        <w:t xml:space="preserve"> </w:t>
      </w:r>
      <w:r>
        <w:t xml:space="preserve">to submit attestations</w:t>
      </w:r>
      <w:r>
        <w:t xml:space="preserve"> </w:t>
      </w:r>
      <w:r>
        <w:t xml:space="preserve">signed with their PQC keys. A contract may require</w:t>
      </w:r>
      <w:r>
        <w:t xml:space="preserve"> </w:t>
      </w:r>
      <w:r>
        <w:t xml:space="preserve">signatures from multiple witnesses before accepting an</w:t>
      </w:r>
      <w:r>
        <w:t xml:space="preserve"> </w:t>
      </w:r>
      <w:r>
        <w:t xml:space="preserve">off‑chain fact. Oracle contracts implement</w:t>
      </w:r>
      <w:r>
        <w:t xml:space="preserve"> </w:t>
      </w:r>
      <w:r>
        <w:t xml:space="preserve">interfaces for submitting and aggregating such attestations.</w:t>
      </w:r>
    </w:p>
    <w:bookmarkEnd w:id="24"/>
    <w:bookmarkStart w:id="25" w:name="systemprovided-contracts"/>
    <w:p>
      <w:pPr>
        <w:pStyle w:val="Heading2"/>
      </w:pPr>
      <w:r>
        <w:t xml:space="preserve">5.6 System‑Provided Contracts</w:t>
      </w:r>
    </w:p>
    <w:p>
      <w:pPr>
        <w:pStyle w:val="FirstParagraph"/>
      </w:pPr>
      <w:r>
        <w:t xml:space="preserve">The runtime includes several built‑in contracts: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Bridge:</w:t>
      </w:r>
      <w:r>
        <w:t xml:space="preserve"> </w:t>
      </w:r>
      <w:r>
        <w:t xml:space="preserve">handles cross‑chain proof verification and</w:t>
      </w:r>
      <w:r>
        <w:t xml:space="preserve"> </w:t>
      </w:r>
      <w:r>
        <w:t xml:space="preserve">message dispatch. It exposes methods to register</w:t>
      </w:r>
      <w:r>
        <w:t xml:space="preserve"> </w:t>
      </w:r>
      <w:r>
        <w:t xml:space="preserve">relayers, update external chain parameters, and submit</w:t>
      </w:r>
      <w:r>
        <w:t xml:space="preserve"> </w:t>
      </w:r>
      <w:r>
        <w:t xml:space="preserve">proofs.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Randomness Beacon:</w:t>
      </w:r>
      <w:r>
        <w:t xml:space="preserve"> </w:t>
      </w:r>
      <w:r>
        <w:t xml:space="preserve">produces VRF outputs every epoch</w:t>
      </w:r>
      <w:r>
        <w:t xml:space="preserve"> </w:t>
      </w:r>
      <w:r>
        <w:t xml:space="preserve">(§6.7). Contracts may request fresh randomness for</w:t>
      </w:r>
      <w:r>
        <w:t xml:space="preserve"> </w:t>
      </w:r>
      <w:r>
        <w:t xml:space="preserve">lotteries or leader election.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Gas Accounting:</w:t>
      </w:r>
      <w:r>
        <w:t xml:space="preserve"> </w:t>
      </w:r>
      <w:r>
        <w:t xml:space="preserve">tracks PQC gas usage and enforces</w:t>
      </w:r>
      <w:r>
        <w:t xml:space="preserve"> </w:t>
      </w:r>
      <w:r>
        <w:t xml:space="preserve">per‑transaction and per‑block limits. Developers can</w:t>
      </w:r>
      <w:r>
        <w:t xml:space="preserve"> </w:t>
      </w:r>
      <w:r>
        <w:t xml:space="preserve">query current gas prices and limits.</w:t>
      </w:r>
    </w:p>
    <w:p>
      <w:pPr>
        <w:pStyle w:val="FirstParagraph"/>
      </w:pPr>
      <w:r>
        <w:t xml:space="preserve">System contracts are upgradable via governance but remain</w:t>
      </w:r>
      <w:r>
        <w:t xml:space="preserve"> </w:t>
      </w:r>
      <w:r>
        <w:t xml:space="preserve">deterministic. They are audited and formally verified.</w:t>
      </w:r>
    </w:p>
    <w:bookmarkEnd w:id="25"/>
    <w:bookmarkStart w:id="26" w:name="message-relay-protocol-fee-model"/>
    <w:p>
      <w:pPr>
        <w:pStyle w:val="Heading2"/>
      </w:pPr>
      <w:r>
        <w:t xml:space="preserve">5.7 Message Relay Protocol &amp; Fee Model</w:t>
      </w:r>
    </w:p>
    <w:p>
      <w:pPr>
        <w:pStyle w:val="FirstParagraph"/>
      </w:pPr>
      <w:r>
        <w:t xml:space="preserve">Relayers are compensated for submitting proofs.</w:t>
      </w:r>
      <w:r>
        <w:t xml:space="preserve"> </w:t>
      </w:r>
      <w:r>
        <w:t xml:space="preserve">Compensation may take the form of direct payments in</w:t>
      </w:r>
      <w:r>
        <w:t xml:space="preserve"> </w:t>
      </w:r>
      <w:r>
        <w:t xml:space="preserve">Synergy tokens or a share of the fees collected by the</w:t>
      </w:r>
      <w:r>
        <w:t xml:space="preserve"> </w:t>
      </w:r>
      <w:r>
        <w:t xml:space="preserve">Bridge. The fee model includes: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Submission fee:</w:t>
      </w:r>
      <w:r>
        <w:t xml:space="preserve"> </w:t>
      </w:r>
      <w:r>
        <w:t xml:space="preserve">paid by the message sender on the</w:t>
      </w:r>
      <w:r>
        <w:t xml:space="preserve"> </w:t>
      </w:r>
      <w:r>
        <w:t xml:space="preserve">source chain.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Verification fee:</w:t>
      </w:r>
      <w:r>
        <w:t xml:space="preserve"> </w:t>
      </w:r>
      <w:r>
        <w:t xml:space="preserve">paid by the recipient contract on</w:t>
      </w:r>
      <w:r>
        <w:t xml:space="preserve"> </w:t>
      </w:r>
      <w:r>
        <w:t xml:space="preserve">the destination chain, proportional to the size of the</w:t>
      </w:r>
      <w:r>
        <w:t xml:space="preserve"> </w:t>
      </w:r>
      <w:r>
        <w:t xml:space="preserve">proof and the number of relayers.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Reward pool:</w:t>
      </w:r>
      <w:r>
        <w:t xml:space="preserve"> </w:t>
      </w:r>
      <w:r>
        <w:t xml:space="preserve">collected fees are distributed among</w:t>
      </w:r>
      <w:r>
        <w:t xml:space="preserve"> </w:t>
      </w:r>
      <w:r>
        <w:t xml:space="preserve">relayers according to their weight and reliability.</w:t>
      </w:r>
    </w:p>
    <w:p>
      <w:pPr>
        <w:pStyle w:val="FirstParagraph"/>
      </w:pPr>
      <w:r>
        <w:t xml:space="preserve">Relayers stake tokens and are subject to slashing if they</w:t>
      </w:r>
      <w:r>
        <w:t xml:space="preserve"> </w:t>
      </w:r>
      <w:r>
        <w:t xml:space="preserve">submit invalid proofs (§9). Reliability metrics (e.g.,</w:t>
      </w:r>
      <w:r>
        <w:t xml:space="preserve"> </w:t>
      </w:r>
      <w:r>
        <w:t xml:space="preserve">uptime, latency) influence their weight in the quorum.</w:t>
      </w:r>
    </w:p>
    <w:bookmarkEnd w:id="26"/>
    <w:bookmarkStart w:id="27" w:name="sample-crosschain-use-cases"/>
    <w:p>
      <w:pPr>
        <w:pStyle w:val="Heading2"/>
      </w:pPr>
      <w:r>
        <w:t xml:space="preserve">5.8 Sample Cross‑Chain Use Cases</w:t>
      </w:r>
    </w:p>
    <w:p>
      <w:pPr>
        <w:pStyle w:val="FirstParagraph"/>
      </w:pPr>
      <w:r>
        <w:rPr>
          <w:bCs/>
          <w:b/>
        </w:rPr>
        <w:t xml:space="preserve">Token Bridge:</w:t>
      </w:r>
      <w:r>
        <w:t xml:space="preserve"> </w:t>
      </w:r>
      <w:r>
        <w:t xml:space="preserve">Transfer tokens from an Ethereum chain</w:t>
      </w:r>
      <w:r>
        <w:t xml:space="preserve"> </w:t>
      </w:r>
      <w:r>
        <w:t xml:space="preserve">into SynQ by burning them on Ethereum and minting an</w:t>
      </w:r>
      <w:r>
        <w:t xml:space="preserve"> </w:t>
      </w:r>
      <w:r>
        <w:t xml:space="preserve">equivalent amount on SynQ. Proofs include a Merkle</w:t>
      </w:r>
      <w:r>
        <w:t xml:space="preserve"> </w:t>
      </w:r>
      <w:r>
        <w:t xml:space="preserve">inclusion proof of the burn event and signatures from</w:t>
      </w:r>
      <w:r>
        <w:t xml:space="preserve"> </w:t>
      </w:r>
      <w:r>
        <w:t xml:space="preserve">relayers. The Bridge verifies the proof and calls the</w:t>
      </w:r>
      <w:r>
        <w:t xml:space="preserve"> </w:t>
      </w:r>
      <w:r>
        <w:t xml:space="preserve">destination contract’s</w:t>
      </w:r>
      <w:r>
        <w:t xml:space="preserve"> </w:t>
      </w:r>
      <w:r>
        <w:rPr>
          <w:rStyle w:val="VerbatimChar"/>
        </w:rPr>
        <w:t xml:space="preserve">mint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Cs/>
          <w:b/>
        </w:rPr>
        <w:t xml:space="preserve">Vote Tallying:</w:t>
      </w:r>
      <w:r>
        <w:t xml:space="preserve"> </w:t>
      </w:r>
      <w:r>
        <w:t xml:space="preserve">A DAO deployed on SynQ may accept votes</w:t>
      </w:r>
      <w:r>
        <w:t xml:space="preserve"> </w:t>
      </w:r>
      <w:r>
        <w:t xml:space="preserve">from token holders on an external chain. Relayers observe</w:t>
      </w:r>
      <w:r>
        <w:t xml:space="preserve"> </w:t>
      </w:r>
      <w:r>
        <w:t xml:space="preserve">the vote events, collect signatures, and deliver them to</w:t>
      </w:r>
      <w:r>
        <w:t xml:space="preserve"> </w:t>
      </w:r>
      <w:r>
        <w:t xml:space="preserve">the DAO, which decapsulates encrypted votes using Kyber and</w:t>
      </w:r>
      <w:r>
        <w:t xml:space="preserve"> </w:t>
      </w:r>
      <w:r>
        <w:t xml:space="preserve">tallies them (§10.2).</w:t>
      </w:r>
    </w:p>
    <w:p>
      <w:pPr>
        <w:pStyle w:val="BodyText"/>
      </w:pPr>
      <w:r>
        <w:rPr>
          <w:bCs/>
          <w:b/>
        </w:rPr>
        <w:t xml:space="preserve">Cross‑Chain Oracle:</w:t>
      </w:r>
      <w:r>
        <w:t xml:space="preserve"> </w:t>
      </w:r>
      <w:r>
        <w:t xml:space="preserve">A price feed aggregator may run on</w:t>
      </w:r>
      <w:r>
        <w:t xml:space="preserve"> </w:t>
      </w:r>
      <w:r>
        <w:t xml:space="preserve">another chain. Witnesses sign the latest price, relayers</w:t>
      </w:r>
      <w:r>
        <w:t xml:space="preserve"> </w:t>
      </w:r>
      <w:r>
        <w:t xml:space="preserve">deliver it, and SynQ contracts update their state once a</w:t>
      </w:r>
      <w:r>
        <w:t xml:space="preserve"> </w:t>
      </w:r>
      <w:r>
        <w:t xml:space="preserve">threshold of signatures is reached.</w:t>
      </w:r>
    </w:p>
    <w:p>
      <w:pPr>
        <w:pStyle w:val="BodyText"/>
      </w:pPr>
      <w:r>
        <w:t xml:space="preserve">These examples illustrate how SynQ’s interoperability</w:t>
      </w:r>
      <w:r>
        <w:t xml:space="preserve"> </w:t>
      </w:r>
      <w:r>
        <w:t xml:space="preserve">primitives allow complex, multi‑chain workflows to be</w:t>
      </w:r>
      <w:r>
        <w:t xml:space="preserve"> </w:t>
      </w:r>
      <w:r>
        <w:t xml:space="preserve">implemented securely.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2025-10-18T01:19:33Z</dcterms:created>
  <dcterms:modified xsi:type="dcterms:W3CDTF">2025-10-18T01:19:33Z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