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sting-verification"/>
    <w:p>
      <w:pPr>
        <w:pStyle w:val="Heading1"/>
      </w:pPr>
      <w:r>
        <w:t xml:space="preserve">9. Testing &amp; Verification</w:t>
      </w:r>
    </w:p>
    <w:p>
      <w:pPr>
        <w:pStyle w:val="FirstParagraph"/>
      </w:pPr>
      <w:r>
        <w:t xml:space="preserve">Rigorous testing and verification are essential for</w:t>
      </w:r>
      <w:r>
        <w:t xml:space="preserve"> </w:t>
      </w:r>
      <w:r>
        <w:t xml:space="preserve">building trustworthy smart contracts. SynQ provides</w:t>
      </w:r>
      <w:r>
        <w:t xml:space="preserve"> </w:t>
      </w:r>
      <w:r>
        <w:t xml:space="preserve">integrated support for testing and formal methods. This</w:t>
      </w:r>
      <w:r>
        <w:t xml:space="preserve"> </w:t>
      </w:r>
      <w:r>
        <w:t xml:space="preserve">section outlines the available techniques and recommended</w:t>
      </w:r>
      <w:r>
        <w:t xml:space="preserve"> </w:t>
      </w:r>
      <w:r>
        <w:t xml:space="preserve">practices.</w:t>
      </w:r>
    </w:p>
    <w:bookmarkStart w:id="20" w:name="unit-integration-testing"/>
    <w:p>
      <w:pPr>
        <w:pStyle w:val="Heading2"/>
      </w:pPr>
      <w:r>
        <w:t xml:space="preserve">9.1 Unit &amp; Integration Testing</w:t>
      </w:r>
    </w:p>
    <w:p>
      <w:pPr>
        <w:pStyle w:val="FirstParagraph"/>
      </w:pPr>
      <w:r>
        <w:t xml:space="preserve">Unit tests focus on individual functions or small</w:t>
      </w:r>
      <w:r>
        <w:t xml:space="preserve"> </w:t>
      </w:r>
      <w:r>
        <w:t xml:space="preserve">components, while integration tests exercise end‑to‑end</w:t>
      </w:r>
      <w:r>
        <w:t xml:space="preserve"> </w:t>
      </w:r>
      <w:r>
        <w:t xml:space="preserve">workflows. Both types of tests are written in SynQ</w:t>
      </w:r>
      <w:r>
        <w:t xml:space="preserve"> </w:t>
      </w:r>
      <w:r>
        <w:t xml:space="preserve">syntax and executed by the test runner (§8.4). Tests</w:t>
      </w:r>
      <w:r>
        <w:t xml:space="preserve"> </w:t>
      </w:r>
      <w:r>
        <w:t xml:space="preserve">should cover:</w:t>
      </w:r>
    </w:p>
    <w:p>
      <w:pPr>
        <w:numPr>
          <w:ilvl w:val="0"/>
          <w:numId w:val="1001"/>
        </w:numPr>
        <w:pStyle w:val="Compact"/>
      </w:pPr>
      <w:r>
        <w:t xml:space="preserve">Normal operation and edge cases.</w:t>
      </w:r>
    </w:p>
    <w:p>
      <w:pPr>
        <w:numPr>
          <w:ilvl w:val="0"/>
          <w:numId w:val="1001"/>
        </w:numPr>
        <w:pStyle w:val="Compact"/>
      </w:pPr>
      <w:r>
        <w:t xml:space="preserve">Failure modes (expected reverts).</w:t>
      </w:r>
    </w:p>
    <w:p>
      <w:pPr>
        <w:numPr>
          <w:ilvl w:val="0"/>
          <w:numId w:val="1001"/>
        </w:numPr>
        <w:pStyle w:val="Compact"/>
      </w:pPr>
      <w:r>
        <w:t xml:space="preserve">Gas consumption under various input sizes.</w:t>
      </w:r>
    </w:p>
    <w:p>
      <w:pPr>
        <w:pStyle w:val="FirstParagraph"/>
      </w:pPr>
      <w:r>
        <w:t xml:space="preserve">Tests run deterministically and should avoid</w:t>
      </w:r>
      <w:r>
        <w:t xml:space="preserve"> </w:t>
      </w:r>
      <w:r>
        <w:t xml:space="preserve">non‑deterministic constructs. Developers can use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mock_call</w:t>
      </w:r>
      <w:r>
        <w:t xml:space="preserve"> </w:t>
      </w:r>
      <w:r>
        <w:t xml:space="preserve">helper to simulate calls to other</w:t>
      </w:r>
      <w:r>
        <w:t xml:space="preserve"> </w:t>
      </w:r>
      <w:r>
        <w:t xml:space="preserve">contracts without changing state.</w:t>
      </w:r>
    </w:p>
    <w:bookmarkEnd w:id="20"/>
    <w:bookmarkStart w:id="21" w:name="simulation-stress-testing"/>
    <w:p>
      <w:pPr>
        <w:pStyle w:val="Heading2"/>
      </w:pPr>
      <w:r>
        <w:t xml:space="preserve">9.2 Simulation &amp; Stress Testing</w:t>
      </w:r>
    </w:p>
    <w:p>
      <w:pPr>
        <w:pStyle w:val="FirstParagraph"/>
      </w:pPr>
      <w:r>
        <w:t xml:space="preserve">Simulation frameworks create artificial environments to</w:t>
      </w:r>
      <w:r>
        <w:t xml:space="preserve"> </w:t>
      </w:r>
      <w:r>
        <w:t xml:space="preserve">stress the contract under heavy load. Examples include: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Throughput simulation:</w:t>
      </w:r>
      <w:r>
        <w:t xml:space="preserve"> </w:t>
      </w:r>
      <w:r>
        <w:t xml:space="preserve">generate thousands of</w:t>
      </w:r>
      <w:r>
        <w:t xml:space="preserve"> </w:t>
      </w:r>
      <w:r>
        <w:t xml:space="preserve">concurrent votes or transfers to measure latency and gas</w:t>
      </w:r>
      <w:r>
        <w:t xml:space="preserve"> </w:t>
      </w:r>
      <w:r>
        <w:t xml:space="preserve">usage.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Network churn:</w:t>
      </w:r>
      <w:r>
        <w:t xml:space="preserve"> </w:t>
      </w:r>
      <w:r>
        <w:t xml:space="preserve">model relayer failures and delayed</w:t>
      </w:r>
      <w:r>
        <w:t xml:space="preserve"> </w:t>
      </w:r>
      <w:r>
        <w:t xml:space="preserve">messages to observe contract behaviour under adverse</w:t>
      </w:r>
      <w:r>
        <w:t xml:space="preserve"> </w:t>
      </w:r>
      <w:r>
        <w:t xml:space="preserve">conditions.</w:t>
      </w:r>
    </w:p>
    <w:p>
      <w:pPr>
        <w:pStyle w:val="FirstParagraph"/>
      </w:pPr>
      <w:r>
        <w:t xml:space="preserve">Stress tests uncover performance bottlenecks and</w:t>
      </w:r>
      <w:r>
        <w:t xml:space="preserve"> </w:t>
      </w:r>
      <w:r>
        <w:t xml:space="preserve">concurrency issues before deployment.</w:t>
      </w:r>
    </w:p>
    <w:bookmarkEnd w:id="21"/>
    <w:bookmarkStart w:id="22" w:name="propertybased-fuzz-testing"/>
    <w:p>
      <w:pPr>
        <w:pStyle w:val="Heading2"/>
      </w:pPr>
      <w:r>
        <w:t xml:space="preserve">9.3 Property‑Based &amp; Fuzz Testing</w:t>
      </w:r>
    </w:p>
    <w:p>
      <w:pPr>
        <w:pStyle w:val="FirstParagraph"/>
      </w:pPr>
      <w:r>
        <w:t xml:space="preserve">Property‑based testing generates random inputs to discover</w:t>
      </w:r>
      <w:r>
        <w:t xml:space="preserve"> </w:t>
      </w:r>
      <w:r>
        <w:t xml:space="preserve">hidden bugs. Developers specify invariants (e.g., total</w:t>
      </w:r>
      <w:r>
        <w:t xml:space="preserve"> </w:t>
      </w:r>
      <w:r>
        <w:t xml:space="preserve">supply never decreases) and let the framework search for</w:t>
      </w:r>
      <w:r>
        <w:t xml:space="preserve"> </w:t>
      </w:r>
      <w:r>
        <w:t xml:space="preserve">violations. Fuzz testing sends arbitrary call data to</w:t>
      </w:r>
      <w:r>
        <w:t xml:space="preserve"> </w:t>
      </w:r>
      <w:r>
        <w:t xml:space="preserve">functions to detect unexpected panics or reverts.</w:t>
      </w:r>
    </w:p>
    <w:bookmarkEnd w:id="22"/>
    <w:bookmarkStart w:id="23" w:name="formal-verification"/>
    <w:p>
      <w:pPr>
        <w:pStyle w:val="Heading2"/>
      </w:pPr>
      <w:r>
        <w:t xml:space="preserve">9.4 Formal Verification</w:t>
      </w:r>
    </w:p>
    <w:p>
      <w:pPr>
        <w:pStyle w:val="FirstParagraph"/>
      </w:pPr>
      <w:r>
        <w:t xml:space="preserve">For high‑value contracts, informal testing is insufficient.</w:t>
      </w:r>
      <w:r>
        <w:t xml:space="preserve"> </w:t>
      </w:r>
      <w:r>
        <w:t xml:space="preserve">SynQ supports formal verification by exporting the IR (§6)</w:t>
      </w:r>
      <w:r>
        <w:t xml:space="preserve"> </w:t>
      </w:r>
      <w:r>
        <w:t xml:space="preserve">into proof assistants. The verification process involves: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Specification:</w:t>
      </w:r>
      <w:r>
        <w:t xml:space="preserve"> </w:t>
      </w:r>
      <w:r>
        <w:t xml:space="preserve">Define invariants and post‑conditions</w:t>
      </w:r>
      <w:r>
        <w:t xml:space="preserve"> </w:t>
      </w:r>
      <w:r>
        <w:t xml:space="preserve">in a formal language (e.g., TLA+, Coq).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Translation:</w:t>
      </w:r>
      <w:r>
        <w:t xml:space="preserve"> </w:t>
      </w:r>
      <w:r>
        <w:t xml:space="preserve">Automatically translate the IR to the</w:t>
      </w:r>
      <w:r>
        <w:t xml:space="preserve"> </w:t>
      </w:r>
      <w:r>
        <w:t xml:space="preserve">proof language. Tools ensure that the semantics is</w:t>
      </w:r>
      <w:r>
        <w:t xml:space="preserve"> </w:t>
      </w:r>
      <w:r>
        <w:t xml:space="preserve">preserved (§2.10).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Proof construction:</w:t>
      </w:r>
      <w:r>
        <w:t xml:space="preserve"> </w:t>
      </w:r>
      <w:r>
        <w:t xml:space="preserve">Use interactive theorem</w:t>
      </w:r>
      <w:r>
        <w:t xml:space="preserve"> </w:t>
      </w:r>
      <w:r>
        <w:t xml:space="preserve">proving to show that the contract satisfies its</w:t>
      </w:r>
      <w:r>
        <w:t xml:space="preserve"> </w:t>
      </w:r>
      <w:r>
        <w:t xml:space="preserve">specification. Common proofs include safety</w:t>
      </w:r>
      <w:r>
        <w:t xml:space="preserve"> </w:t>
      </w:r>
      <w:r>
        <w:t xml:space="preserve">(invariants always hold) and liveness (progress</w:t>
      </w:r>
      <w:r>
        <w:t xml:space="preserve"> </w:t>
      </w:r>
      <w:r>
        <w:t xml:space="preserve">conditions).</w:t>
      </w:r>
    </w:p>
    <w:p>
      <w:pPr>
        <w:pStyle w:val="FirstParagraph"/>
      </w:pPr>
      <w:r>
        <w:t xml:space="preserve">Early tooling is available for translating SynQ IR into</w:t>
      </w:r>
      <w:r>
        <w:t xml:space="preserve"> </w:t>
      </w:r>
      <w:r>
        <w:t xml:space="preserve">TLA+ modules. Future releases will support other</w:t>
      </w:r>
      <w:r>
        <w:t xml:space="preserve"> </w:t>
      </w:r>
      <w:r>
        <w:t xml:space="preserve">verification backends (§8.8).</w:t>
      </w:r>
    </w:p>
    <w:bookmarkEnd w:id="23"/>
    <w:bookmarkStart w:id="24" w:name="testnet-mainnet-qa"/>
    <w:p>
      <w:pPr>
        <w:pStyle w:val="Heading2"/>
      </w:pPr>
      <w:r>
        <w:t xml:space="preserve">9.5 Testnet &amp; Mainnet QA</w:t>
      </w:r>
    </w:p>
    <w:p>
      <w:pPr>
        <w:pStyle w:val="FirstParagraph"/>
      </w:pPr>
      <w:r>
        <w:t xml:space="preserve">Before mainnet deployment, contracts should be deployed on</w:t>
      </w:r>
      <w:r>
        <w:t xml:space="preserve"> </w:t>
      </w:r>
      <w:r>
        <w:t xml:space="preserve">a public testnet. QA includes: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 testing:</w:t>
      </w:r>
      <w:r>
        <w:t xml:space="preserve"> </w:t>
      </w:r>
      <w:r>
        <w:t xml:space="preserve">verify functionality against real</w:t>
      </w:r>
      <w:r>
        <w:t xml:space="preserve"> </w:t>
      </w:r>
      <w:r>
        <w:t xml:space="preserve">network conditions and cross‑chain interactions.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Load testing:</w:t>
      </w:r>
      <w:r>
        <w:t xml:space="preserve"> </w:t>
      </w:r>
      <w:r>
        <w:t xml:space="preserve">simulate realistic transaction volumes.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Failover testing:</w:t>
      </w:r>
      <w:r>
        <w:t xml:space="preserve"> </w:t>
      </w:r>
      <w:r>
        <w:t xml:space="preserve">deliberately shut down relayers or</w:t>
      </w:r>
      <w:r>
        <w:t xml:space="preserve"> </w:t>
      </w:r>
      <w:r>
        <w:t xml:space="preserve">degrade network performance to test resilience.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Gas cost validation:</w:t>
      </w:r>
      <w:r>
        <w:t xml:space="preserve"> </w:t>
      </w:r>
      <w:r>
        <w:t xml:space="preserve">ensure that actual gas usage</w:t>
      </w:r>
      <w:r>
        <w:t xml:space="preserve"> </w:t>
      </w:r>
      <w:r>
        <w:t xml:space="preserve">matches predictions (§3.6).</w:t>
      </w:r>
    </w:p>
    <w:bookmarkEnd w:id="24"/>
    <w:bookmarkStart w:id="25" w:name="conformance-tests-compliance"/>
    <w:p>
      <w:pPr>
        <w:pStyle w:val="Heading2"/>
      </w:pPr>
      <w:r>
        <w:t xml:space="preserve">9.6 Conformance Tests &amp; Compliance</w:t>
      </w:r>
    </w:p>
    <w:p>
      <w:pPr>
        <w:pStyle w:val="FirstParagraph"/>
      </w:pPr>
      <w:r>
        <w:t xml:space="preserve">Conformance suites ensure that contract behaviour matches</w:t>
      </w:r>
      <w:r>
        <w:t xml:space="preserve"> </w:t>
      </w:r>
      <w:r>
        <w:t xml:space="preserve">the specification and remains stable across VM upgrades.</w:t>
      </w:r>
      <w:r>
        <w:t xml:space="preserve"> </w:t>
      </w:r>
      <w:r>
        <w:t xml:space="preserve">Each new VM release ships with updated conformance tests.</w:t>
      </w:r>
      <w:r>
        <w:t xml:space="preserve"> </w:t>
      </w:r>
      <w:r>
        <w:t xml:space="preserve">Developers should run these tests against their contracts</w:t>
      </w:r>
      <w:r>
        <w:t xml:space="preserve"> </w:t>
      </w:r>
      <w:r>
        <w:t xml:space="preserve">regularly.</w:t>
      </w:r>
    </w:p>
    <w:bookmarkEnd w:id="25"/>
    <w:bookmarkStart w:id="26" w:name="benchmarking-performance-tools"/>
    <w:p>
      <w:pPr>
        <w:pStyle w:val="Heading2"/>
      </w:pPr>
      <w:r>
        <w:t xml:space="preserve">9.7 Benchmarking &amp; Performance Tools</w:t>
      </w:r>
    </w:p>
    <w:p>
      <w:pPr>
        <w:pStyle w:val="FirstParagraph"/>
      </w:pPr>
      <w:r>
        <w:t xml:space="preserve">Benchmark tools measure execution time and gas usage.</w:t>
      </w:r>
      <w:r>
        <w:t xml:space="preserve"> </w:t>
      </w:r>
      <w:r>
        <w:t xml:space="preserve">Developers can compare different implementations and</w:t>
      </w:r>
      <w:r>
        <w:t xml:space="preserve"> </w:t>
      </w:r>
      <w:r>
        <w:t xml:space="preserve">optimise critical paths. Benchmarks can also inform</w:t>
      </w:r>
      <w:r>
        <w:t xml:space="preserve"> </w:t>
      </w:r>
      <w:r>
        <w:t xml:space="preserve">governance decisions on gas pricing (§3.6).</w:t>
      </w:r>
    </w:p>
    <w:bookmarkEnd w:id="26"/>
    <w:bookmarkStart w:id="27" w:name="security-auditing-penetration-testing"/>
    <w:p>
      <w:pPr>
        <w:pStyle w:val="Heading2"/>
      </w:pPr>
      <w:r>
        <w:t xml:space="preserve">9.8 Security Auditing &amp; Penetration Testing</w:t>
      </w:r>
    </w:p>
    <w:p>
      <w:pPr>
        <w:pStyle w:val="FirstParagraph"/>
      </w:pPr>
      <w:r>
        <w:t xml:space="preserve">Security audits combine manual review with automated</w:t>
      </w:r>
      <w:r>
        <w:t xml:space="preserve"> </w:t>
      </w:r>
      <w:r>
        <w:t xml:space="preserve">analysis tools. Auditors examine the contract for</w:t>
      </w:r>
      <w:r>
        <w:t xml:space="preserve"> </w:t>
      </w:r>
      <w:r>
        <w:t xml:space="preserve">re‑entrancy, integer overflows, unbounded loops, logic</w:t>
      </w:r>
      <w:r>
        <w:t xml:space="preserve"> </w:t>
      </w:r>
      <w:r>
        <w:t xml:space="preserve">errors and gas exhaustion vulnerabilities. Penetration</w:t>
      </w:r>
      <w:r>
        <w:t xml:space="preserve"> </w:t>
      </w:r>
      <w:r>
        <w:t xml:space="preserve">testing frameworks send malicious inputs to test defences.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2025-10-18T01:19:33Z</dcterms:created>
  <dcterms:modified xsi:type="dcterms:W3CDTF">2025-10-18T01:19:33Z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