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325bdc077de671d508d9c9cb5b8284cf9182a7a"/>
    <w:p>
      <w:pPr>
        <w:pStyle w:val="Heading1"/>
      </w:pPr>
      <w:r>
        <w:t xml:space="preserve">8 Economic Incentives and Reward Distribution</w:t>
      </w:r>
    </w:p>
    <w:p>
      <w:pPr>
        <w:pStyle w:val="FirstParagraph"/>
      </w:pPr>
      <w:r>
        <w:t xml:space="preserve">Economic incentives align participant behavior with network safety and liveness. PoSy defines a</w:t>
      </w:r>
      <w:r>
        <w:t xml:space="preserve"> </w:t>
      </w:r>
      <w:r>
        <w:rPr>
          <w:bCs/>
          <w:b/>
        </w:rPr>
        <w:t xml:space="preserve">Synergy Score</w:t>
      </w:r>
      <w:r>
        <w:t xml:space="preserve"> </w:t>
      </w:r>
      <w:r>
        <w:t xml:space="preserve">that captures each validator’s contribution across stake, reputation, cross‑chain service and punctuality. Rewards are distributed proportionally to this score, while additional bonding and reward mechanisms encourage honest participation in the SXCP interoperability layer.</w:t>
      </w:r>
    </w:p>
    <w:bookmarkStart w:id="20" w:name="reward-components"/>
    <w:p>
      <w:pPr>
        <w:pStyle w:val="Heading2"/>
      </w:pPr>
      <w:r>
        <w:t xml:space="preserve">8.1 Reward Components</w:t>
      </w:r>
    </w:p>
    <w:p>
      <w:pPr>
        <w:pStyle w:val="FirstParagraph"/>
      </w:pPr>
      <w:r>
        <w:t xml:space="preserve">Each round’s reward pool is composed of three components:</w:t>
      </w:r>
    </w:p>
    <w:p>
      <w:pPr>
        <w:pStyle w:val="BodyText"/>
      </w:pPr>
      <w:r>
        <w:t xml:space="preserve">[</w:t>
      </w:r>
      <w:r>
        <w:t xml:space="preserve"> </w:t>
      </w:r>
      <w:r>
        <w:t xml:space="preserve">R_{</w:t>
      </w:r>
      <w:r>
        <w:t xml:space="preserve">} = R_{</w:t>
      </w:r>
      <w:r>
        <w:t xml:space="preserve">} + R_{</w:t>
      </w:r>
      <w:r>
        <w:t xml:space="preserve">} + R_{</w:t>
      </w:r>
      <w:r>
        <w:t xml:space="preserve">}</w:t>
      </w:r>
      <w:r>
        <w:t xml:space="preserve"> </w:t>
      </w:r>
      <w:r>
        <w:t xml:space="preserve">]</w:t>
      </w:r>
    </w:p>
    <w:p>
      <w:pPr>
        <w:pStyle w:val="BodyText"/>
      </w:pPr>
      <w:r>
        <w:t xml:space="preserve">Where:</w:t>
      </w:r>
    </w:p>
    <w:p>
      <w:pPr>
        <w:numPr>
          <w:ilvl w:val="0"/>
          <w:numId w:val="1001"/>
        </w:numPr>
        <w:pStyle w:val="Compact"/>
      </w:pPr>
      <w:r>
        <w:rPr>
          <w:bCs/>
          <w:b/>
        </w:rPr>
        <w:t xml:space="preserve">Block subsidy</w:t>
      </w:r>
      <w:r>
        <w:t xml:space="preserve"> </w:t>
      </w:r>
      <w:r>
        <w:t xml:space="preserve">(R_{</w:t>
      </w:r>
      <w:r>
        <w:t xml:space="preserve">}) is minted supply that decreases over time according to the inflation schedule (see §12). An Aegis signature chain of custody ensures proper minting.</w:t>
      </w:r>
    </w:p>
    <w:p>
      <w:pPr>
        <w:numPr>
          <w:ilvl w:val="0"/>
          <w:numId w:val="1001"/>
        </w:numPr>
        <w:pStyle w:val="Compact"/>
      </w:pPr>
      <w:r>
        <w:rPr>
          <w:bCs/>
          <w:b/>
        </w:rPr>
        <w:t xml:space="preserve">Transaction fees</w:t>
      </w:r>
      <w:r>
        <w:t xml:space="preserve"> </w:t>
      </w:r>
      <w:r>
        <w:t xml:space="preserve">(R_{</w:t>
      </w:r>
      <w:r>
        <w:t xml:space="preserve">}) are paid by users for executing transactions; fees are pooled and redistributed to consensus participants.</w:t>
      </w:r>
    </w:p>
    <w:p>
      <w:pPr>
        <w:numPr>
          <w:ilvl w:val="0"/>
          <w:numId w:val="1001"/>
        </w:numPr>
        <w:pStyle w:val="Compact"/>
      </w:pPr>
      <w:r>
        <w:rPr>
          <w:bCs/>
          <w:b/>
        </w:rPr>
        <w:t xml:space="preserve">SXCP service fees</w:t>
      </w:r>
      <w:r>
        <w:t xml:space="preserve"> </w:t>
      </w:r>
      <w:r>
        <w:t xml:space="preserve">(R_{</w:t>
      </w:r>
      <w:r>
        <w:t xml:space="preserve">}) compensate relayers and witnesses for processing cross‑chain events and producing Aegis proofs. Only checkpoint rounds include this component.</w:t>
      </w:r>
    </w:p>
    <w:p>
      <w:pPr>
        <w:pStyle w:val="FirstParagraph"/>
      </w:pPr>
      <w:r>
        <w:t xml:space="preserve">The total reward pool is split between leaders, committee members and SXCP relayers.</w:t>
      </w:r>
    </w:p>
    <w:bookmarkEnd w:id="20"/>
    <w:bookmarkStart w:id="21" w:name="X0a66614c1aa3f6dfb12a3121eac23c002e8f02d"/>
    <w:p>
      <w:pPr>
        <w:pStyle w:val="Heading2"/>
      </w:pPr>
      <w:r>
        <w:t xml:space="preserve">8.2 Synergy Score and Contribution Multiplier</w:t>
      </w:r>
    </w:p>
    <w:p>
      <w:pPr>
        <w:pStyle w:val="FirstParagraph"/>
      </w:pPr>
      <w:r>
        <w:t xml:space="preserve">Validators are ranked by a</w:t>
      </w:r>
      <w:r>
        <w:t xml:space="preserve"> </w:t>
      </w:r>
      <w:r>
        <w:rPr>
          <w:bCs/>
          <w:b/>
        </w:rPr>
        <w:t xml:space="preserve">Synergy Score</w:t>
      </w:r>
      <w:r>
        <w:t xml:space="preserve"> </w:t>
      </w:r>
      <w:r>
        <w:t xml:space="preserve">(S_i) which aggregates:</w:t>
      </w:r>
    </w:p>
    <w:p>
      <w:pPr>
        <w:pStyle w:val="BodyText"/>
      </w:pPr>
      <w:r>
        <w:t xml:space="preserve">[</w:t>
      </w:r>
      <w:r>
        <w:t xml:space="preserve"> </w:t>
      </w:r>
      <w:r>
        <w:t xml:space="preserve">S_i = W_i</w:t>
      </w:r>
      <w:r>
        <w:t xml:space="preserve"> </w:t>
      </w:r>
      <w:r>
        <w:t xml:space="preserve">R_i</w:t>
      </w:r>
      <w:r>
        <w:t xml:space="preserve"> </w:t>
      </w:r>
      <w:r>
        <w:t xml:space="preserve">C_i</w:t>
      </w:r>
      <w:r>
        <w:t xml:space="preserve"> </w:t>
      </w:r>
      <w:r>
        <w:t xml:space="preserve">P_i</w:t>
      </w:r>
      <w:r>
        <w:t xml:space="preserve"> </w:t>
      </w:r>
      <w:r>
        <w:t xml:space="preserve">]</w:t>
      </w:r>
    </w:p>
    <w:p>
      <w:pPr>
        <w:pStyle w:val="BodyText"/>
      </w:pPr>
      <w:r>
        <w:t xml:space="preserve">Where:</w:t>
      </w:r>
    </w:p>
    <w:p>
      <w:pPr>
        <w:numPr>
          <w:ilvl w:val="0"/>
          <w:numId w:val="1002"/>
        </w:numPr>
        <w:pStyle w:val="Compact"/>
      </w:pPr>
      <w:r>
        <w:t xml:space="preserve">(W_i) – Normalized weight derived from stake and reputation (§5) with (</w:t>
      </w:r>
      <w:r>
        <w:t xml:space="preserve">W_i = 1).</w:t>
      </w:r>
    </w:p>
    <w:p>
      <w:pPr>
        <w:numPr>
          <w:ilvl w:val="0"/>
          <w:numId w:val="1002"/>
        </w:numPr>
        <w:pStyle w:val="Compact"/>
      </w:pPr>
      <w:r>
        <w:t xml:space="preserve">(R_i) – Reputation multiplier reflecting historical correctness, uptime and quality of cross‑chain attestations (default 1.0; penalized for missed votes).</w:t>
      </w:r>
    </w:p>
    <w:p>
      <w:pPr>
        <w:numPr>
          <w:ilvl w:val="0"/>
          <w:numId w:val="1002"/>
        </w:numPr>
        <w:pStyle w:val="Compact"/>
      </w:pPr>
      <w:r>
        <w:t xml:space="preserve">(C_i) – Contribution multiplier capturing voluntary services such as participating in randomized committees, acting as a DA verifier (§20) or providing open‑source tooling. Validators may burn a small fee to signal additional contributions.</w:t>
      </w:r>
    </w:p>
    <w:p>
      <w:pPr>
        <w:numPr>
          <w:ilvl w:val="0"/>
          <w:numId w:val="1002"/>
        </w:numPr>
        <w:pStyle w:val="Compact"/>
      </w:pPr>
      <w:r>
        <w:t xml:space="preserve">(P_i) – Punctuality multiplier derived from vote timings. Fast, on‑time votes earn (P_i &gt; 1) while slow or missing votes incur (P_i &lt; 1).</w:t>
      </w:r>
    </w:p>
    <w:p>
      <w:pPr>
        <w:pStyle w:val="FirstParagraph"/>
      </w:pPr>
      <w:r>
        <w:t xml:space="preserve">The Synergy Score influences both committee selection (§6) and reward distribution. It ensures that well‑behaved, highly committed validators capture more value than passive stakeholders.</w:t>
      </w:r>
    </w:p>
    <w:bookmarkEnd w:id="21"/>
    <w:bookmarkStart w:id="23" w:name="proposer-and-committee-rewards"/>
    <w:p>
      <w:pPr>
        <w:pStyle w:val="Heading2"/>
      </w:pPr>
      <w:r>
        <w:t xml:space="preserve">8.3 Proposer and Committee Rewards</w:t>
      </w:r>
    </w:p>
    <w:p>
      <w:pPr>
        <w:pStyle w:val="FirstParagraph"/>
      </w:pPr>
      <w:r>
        <w:t xml:space="preserve">The leader of round (r) receives a fixed fraction (</w:t>
      </w:r>
      <w:r>
        <w:t xml:space="preserve">_p) of the total pool to compensate for ordering transactions, executing state transitions, aggregating votes and collecting SXCP attestations. The committee share ((1-</w:t>
      </w:r>
      <w:r>
        <w:rPr>
          <w:iCs/>
          <w:i/>
        </w:rPr>
        <w:t xml:space="preserve">p),R</w:t>
      </w:r>
      <w:r>
        <w:t xml:space="preserve">{</w:t>
      </w:r>
      <w:r>
        <w:t xml:space="preserve">}) is split among committee members proportional to their Synergy Scores and punctuality:</w:t>
      </w:r>
    </w:p>
    <w:p>
      <w:pPr>
        <w:pStyle w:val="BodyText"/>
      </w:pPr>
      <w:r>
        <w:t xml:space="preserve">[</w:t>
      </w:r>
      <w:r>
        <w:t xml:space="preserve"> </w:t>
      </w:r>
      <w:r>
        <w:t xml:space="preserve">R_{i} = (1-</w:t>
      </w:r>
      <w:r>
        <w:rPr>
          <w:iCs/>
          <w:i/>
        </w:rPr>
        <w:t xml:space="preserve">p),R</w:t>
      </w:r>
      <w:r>
        <w:t xml:space="preserve">{</w:t>
      </w:r>
      <w:r>
        <w:t xml:space="preserve">},</w:t>
      </w:r>
      <w:r>
        <w:t xml:space="preserve"> </w:t>
      </w:r>
      <w:r>
        <w:t xml:space="preserve">]</w:t>
      </w:r>
    </w:p>
    <w:p>
      <w:pPr>
        <w:pStyle w:val="BodyText"/>
      </w:pPr>
      <w:r>
        <w:t xml:space="preserve">Where (C_r) is the committee for round (r). In checkpoint rounds, the SXCP pool (R_{</w:t>
      </w:r>
      <w:r>
        <w:t xml:space="preserve">}) is distributed among relayers and witnesses who provided valid attestations:</w:t>
      </w:r>
    </w:p>
    <w:p>
      <w:pPr>
        <w:pStyle w:val="BodyText"/>
      </w:pPr>
      <w:r>
        <w:t xml:space="preserve">[</w:t>
      </w:r>
      <w:r>
        <w:t xml:space="preserve"> </w:t>
      </w:r>
      <w:r>
        <w:t xml:space="preserve">R_{i}^{</w:t>
      </w:r>
      <w:r>
        <w:t xml:space="preserve">} = R_{</w:t>
      </w:r>
      <w:r>
        <w:t xml:space="preserve">},</w:t>
      </w:r>
      <w:r>
        <w:t xml:space="preserve"> </w:t>
      </w:r>
      <w:r>
        <w:t xml:space="preserve">]</w:t>
      </w:r>
    </w:p>
    <w:p>
      <w:pPr>
        <w:pStyle w:val="BodyText"/>
      </w:pPr>
      <w:r>
        <w:t xml:space="preserve">The quality factor (B_i) captures cross‑chain service quality: 1.0 if all chains were verified, (&lt;1) for partial or delayed attestations, and 0 for no participation or incorrect proofs. Missing or incorrect SXCP votes produce evidence leading to slashing (§9).</w:t>
      </w:r>
    </w:p>
    <w:bookmarkStart w:id="22" w:name="worked-example"/>
    <w:p>
      <w:pPr>
        <w:pStyle w:val="Heading3"/>
      </w:pPr>
      <w:r>
        <w:t xml:space="preserve">Worked Example</w:t>
      </w:r>
    </w:p>
    <w:p>
      <w:pPr>
        <w:pStyle w:val="FirstParagraph"/>
      </w:pPr>
      <w:r>
        <w:t xml:space="preserve">Consider a checkpoint round with (R_{</w:t>
      </w:r>
      <w:r>
        <w:t xml:space="preserve">} = 8) SNRG, (R_{</w:t>
      </w:r>
      <w:r>
        <w:t xml:space="preserve">} = 2) SNRG, (R_{</w:t>
      </w:r>
      <w:r>
        <w:t xml:space="preserve">} = 5) SNRG and (</w:t>
      </w:r>
      <w:r>
        <w:t xml:space="preserve">_p = 0.1). The committee consists of Alice, Bob and Carol with Synergy Scores (S = {0.5, 0.3, 0.2}). SXCP quality factors are (B = {1.0, 0.8, 0}). The distribution is summarised below:</w:t>
      </w:r>
    </w:p>
    <w:tbl>
      <w:tblPr>
        <w:tblStyle w:val="Table"/>
        <w:tblW w:type="pct" w:w="5000"/>
        <w:tblLook w:firstRow="1" w:lastRow="0" w:firstColumn="0" w:lastColumn="0" w:noHBand="0" w:noVBand="0" w:val="0020"/>
      </w:tblPr>
      <w:tblGrid>
        <w:gridCol w:w="1173"/>
        <w:gridCol w:w="782"/>
        <w:gridCol w:w="782"/>
        <w:gridCol w:w="1662"/>
        <w:gridCol w:w="1662"/>
        <w:gridCol w:w="1173"/>
        <w:gridCol w:w="684"/>
      </w:tblGrid>
      <w:tr>
        <w:trPr>
          <w:tblHeader w:val="true"/>
        </w:trPr>
        <w:tc>
          <w:tcPr/>
          <w:p>
            <w:pPr>
              <w:pStyle w:val="Compact"/>
              <w:jc w:val="left"/>
            </w:pPr>
            <w:r>
              <w:t xml:space="preserve">Participant</w:t>
            </w:r>
          </w:p>
        </w:tc>
        <w:tc>
          <w:tcPr/>
          <w:p>
            <w:pPr>
              <w:pStyle w:val="Compact"/>
              <w:jc w:val="right"/>
            </w:pPr>
            <w:r>
              <w:t xml:space="preserve">(S_i)</w:t>
            </w:r>
          </w:p>
        </w:tc>
        <w:tc>
          <w:tcPr/>
          <w:p>
            <w:pPr>
              <w:pStyle w:val="Compact"/>
              <w:jc w:val="right"/>
            </w:pPr>
            <w:r>
              <w:t xml:space="preserve">(B_i)</w:t>
            </w:r>
          </w:p>
        </w:tc>
        <w:tc>
          <w:tcPr/>
          <w:p>
            <w:pPr>
              <w:pStyle w:val="Compact"/>
              <w:jc w:val="right"/>
            </w:pPr>
            <w:r>
              <w:t xml:space="preserve">Proposer reward</w:t>
            </w:r>
          </w:p>
        </w:tc>
        <w:tc>
          <w:tcPr/>
          <w:p>
            <w:pPr>
              <w:pStyle w:val="Compact"/>
              <w:jc w:val="right"/>
            </w:pPr>
            <w:r>
              <w:t xml:space="preserve">Committee reward</w:t>
            </w:r>
          </w:p>
        </w:tc>
        <w:tc>
          <w:tcPr/>
          <w:p>
            <w:pPr>
              <w:pStyle w:val="Compact"/>
              <w:jc w:val="right"/>
            </w:pPr>
            <w:r>
              <w:t xml:space="preserve">SXCP reward</w:t>
            </w:r>
          </w:p>
        </w:tc>
        <w:tc>
          <w:tcPr/>
          <w:p>
            <w:pPr>
              <w:pStyle w:val="Compact"/>
              <w:jc w:val="right"/>
            </w:pPr>
            <w:r>
              <w:t xml:space="preserve">Total</w:t>
            </w:r>
          </w:p>
        </w:tc>
      </w:tr>
      <w:tr>
        <w:tc>
          <w:tcPr/>
          <w:p>
            <w:pPr>
              <w:pStyle w:val="Compact"/>
              <w:jc w:val="left"/>
            </w:pPr>
            <w:r>
              <w:t xml:space="preserve">Alice (leader)</w:t>
            </w:r>
          </w:p>
        </w:tc>
        <w:tc>
          <w:tcPr/>
          <w:p>
            <w:pPr>
              <w:pStyle w:val="Compact"/>
              <w:jc w:val="right"/>
            </w:pPr>
            <w:r>
              <w:t xml:space="preserve">0.5</w:t>
            </w:r>
          </w:p>
        </w:tc>
        <w:tc>
          <w:tcPr/>
          <w:p>
            <w:pPr>
              <w:pStyle w:val="Compact"/>
              <w:jc w:val="right"/>
            </w:pPr>
            <w:r>
              <w:t xml:space="preserve">1.0</w:t>
            </w:r>
          </w:p>
        </w:tc>
        <w:tc>
          <w:tcPr/>
          <w:p>
            <w:pPr>
              <w:pStyle w:val="Compact"/>
              <w:jc w:val="right"/>
            </w:pPr>
            <w:r>
              <w:t xml:space="preserve">(0.1</w:t>
            </w:r>
            <w:r>
              <w:t xml:space="preserve">(15)=1.5)</w:t>
            </w:r>
          </w:p>
        </w:tc>
        <w:tc>
          <w:tcPr/>
          <w:p>
            <w:pPr>
              <w:pStyle w:val="Compact"/>
              <w:jc w:val="right"/>
            </w:pPr>
            <w:r>
              <w:t xml:space="preserve">(0.9</w:t>
            </w:r>
            <w:r>
              <w:t xml:space="preserve">=4.5)</w:t>
            </w:r>
          </w:p>
        </w:tc>
        <w:tc>
          <w:tcPr/>
          <w:p>
            <w:pPr>
              <w:pStyle w:val="Compact"/>
              <w:jc w:val="right"/>
            </w:pPr>
            <w:r>
              <w:t xml:space="preserve">(0.9</w:t>
            </w:r>
            <w:r>
              <w:t xml:space="preserve">)</w:t>
            </w:r>
          </w:p>
        </w:tc>
        <w:tc>
          <w:tcPr/>
          <w:p>
            <w:pPr>
              <w:pStyle w:val="Compact"/>
              <w:jc w:val="right"/>
            </w:pPr>
            <w:r>
              <w:rPr>
                <w:bCs/>
                <w:b/>
              </w:rPr>
              <w:t xml:space="preserve">9.04</w:t>
            </w:r>
          </w:p>
        </w:tc>
      </w:tr>
      <w:tr>
        <w:tc>
          <w:tcPr/>
          <w:p>
            <w:pPr>
              <w:pStyle w:val="Compact"/>
              <w:jc w:val="left"/>
            </w:pPr>
            <w:r>
              <w:t xml:space="preserve">Bob</w:t>
            </w:r>
          </w:p>
        </w:tc>
        <w:tc>
          <w:tcPr/>
          <w:p>
            <w:pPr>
              <w:pStyle w:val="Compact"/>
              <w:jc w:val="right"/>
            </w:pPr>
            <w:r>
              <w:t xml:space="preserve">0.3</w:t>
            </w:r>
          </w:p>
        </w:tc>
        <w:tc>
          <w:tcPr/>
          <w:p>
            <w:pPr>
              <w:pStyle w:val="Compact"/>
              <w:jc w:val="right"/>
            </w:pPr>
            <w:r>
              <w:t xml:space="preserve">0.8</w:t>
            </w:r>
          </w:p>
        </w:tc>
        <w:tc>
          <w:tcPr/>
          <w:p>
            <w:pPr>
              <w:pStyle w:val="Compact"/>
              <w:jc w:val="right"/>
            </w:pPr>
            <w:r>
              <w:t xml:space="preserve">0</w:t>
            </w:r>
          </w:p>
        </w:tc>
        <w:tc>
          <w:tcPr/>
          <w:p>
            <w:pPr>
              <w:pStyle w:val="Compact"/>
              <w:jc w:val="right"/>
            </w:pPr>
            <w:r>
              <w:t xml:space="preserve">(0.9</w:t>
            </w:r>
            <w:r>
              <w:t xml:space="preserve">=2.7)</w:t>
            </w:r>
          </w:p>
        </w:tc>
        <w:tc>
          <w:tcPr/>
          <w:p>
            <w:pPr>
              <w:pStyle w:val="Compact"/>
              <w:jc w:val="right"/>
            </w:pPr>
            <w:r>
              <w:t xml:space="preserve">(0.9</w:t>
            </w:r>
            <w:r>
              <w:t xml:space="preserve">)</w:t>
            </w:r>
          </w:p>
        </w:tc>
        <w:tc>
          <w:tcPr/>
          <w:p>
            <w:pPr>
              <w:pStyle w:val="Compact"/>
              <w:jc w:val="right"/>
            </w:pPr>
            <w:r>
              <w:rPr>
                <w:bCs/>
                <w:b/>
              </w:rPr>
              <w:t xml:space="preserve">4.16</w:t>
            </w:r>
          </w:p>
        </w:tc>
      </w:tr>
      <w:tr>
        <w:tc>
          <w:tcPr/>
          <w:p>
            <w:pPr>
              <w:pStyle w:val="Compact"/>
              <w:jc w:val="left"/>
            </w:pPr>
            <w:r>
              <w:t xml:space="preserve">Carol</w:t>
            </w:r>
          </w:p>
        </w:tc>
        <w:tc>
          <w:tcPr/>
          <w:p>
            <w:pPr>
              <w:pStyle w:val="Compact"/>
              <w:jc w:val="right"/>
            </w:pPr>
            <w:r>
              <w:t xml:space="preserve">0.2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(0.9</w:t>
            </w:r>
            <w:r>
              <w:t xml:space="preserve">=1.8)</w:t>
            </w:r>
          </w:p>
        </w:tc>
        <w:tc>
          <w:tcPr/>
          <w:p>
            <w:pPr>
              <w:pStyle w:val="Compact"/>
              <w:jc w:val="right"/>
            </w:pPr>
            <w:r>
              <w:t xml:space="preserve">0</w:t>
            </w:r>
          </w:p>
        </w:tc>
        <w:tc>
          <w:tcPr/>
          <w:p>
            <w:pPr>
              <w:pStyle w:val="Compact"/>
              <w:jc w:val="right"/>
            </w:pPr>
            <w:r>
              <w:rPr>
                <w:bCs/>
                <w:b/>
              </w:rPr>
              <w:t xml:space="preserve">1.8</w:t>
            </w:r>
          </w:p>
        </w:tc>
      </w:tr>
    </w:tbl>
    <w:p>
      <w:pPr>
        <w:pStyle w:val="BodyText"/>
      </w:pPr>
      <w:r>
        <w:t xml:space="preserve">The sum of rewards equals 15 SNRG. Carol receives nothing from the SXCP pool because she did not provide any cross‑chain attestations.</w:t>
      </w:r>
    </w:p>
    <w:bookmarkEnd w:id="22"/>
    <w:bookmarkEnd w:id="23"/>
    <w:bookmarkStart w:id="24" w:name="relayer-bonding-and-mevpbs-policy"/>
    <w:p>
      <w:pPr>
        <w:pStyle w:val="Heading2"/>
      </w:pPr>
      <w:r>
        <w:t xml:space="preserve">8.4 Relayer Bonding and MEV/PBS Policy</w:t>
      </w:r>
    </w:p>
    <w:p>
      <w:pPr>
        <w:pStyle w:val="FirstParagraph"/>
      </w:pPr>
      <w:r>
        <w:t xml:space="preserve">SXCP relayers are required to post bonds proportional to the value they transport across chains. Bonds are slashed upon mis‑signatures or censorship (see §9). A fraction of the SXCP fee pool funds</w:t>
      </w:r>
      <w:r>
        <w:t xml:space="preserve"> </w:t>
      </w:r>
      <w:r>
        <w:rPr>
          <w:bCs/>
          <w:b/>
        </w:rPr>
        <w:t xml:space="preserve">Watcher</w:t>
      </w:r>
      <w:r>
        <w:t xml:space="preserve"> </w:t>
      </w:r>
      <w:r>
        <w:t xml:space="preserve">nodes which monitor external chains and challenge fraudulent attestations. Watchers submit misbehavior proofs and receive a portion of the slashed bond as a reward.</w:t>
      </w:r>
    </w:p>
    <w:p>
      <w:pPr>
        <w:pStyle w:val="BodyText"/>
      </w:pPr>
      <w:r>
        <w:t xml:space="preserve">To mitigate</w:t>
      </w:r>
      <w:r>
        <w:t xml:space="preserve"> </w:t>
      </w:r>
      <w:r>
        <w:rPr>
          <w:bCs/>
          <w:b/>
        </w:rPr>
        <w:t xml:space="preserve">maximum extractable value (MEV)</w:t>
      </w:r>
      <w:r>
        <w:t xml:space="preserve"> </w:t>
      </w:r>
      <w:r>
        <w:t xml:space="preserve">on PoSy and external chains, the protocol adopts a</w:t>
      </w:r>
      <w:r>
        <w:t xml:space="preserve"> </w:t>
      </w:r>
      <w:r>
        <w:rPr>
          <w:bCs/>
          <w:b/>
        </w:rPr>
        <w:t xml:space="preserve">Proposer‑Builder Separation (PBS)</w:t>
      </w:r>
      <w:r>
        <w:t xml:space="preserve"> </w:t>
      </w:r>
      <w:r>
        <w:t xml:space="preserve">policy. Leaders may outsource block construction to builders via a sealed‑bid auction, but builders must abide by a commitment scheme enforced through Aegis signatures. All cross‑chain event ordering remains deterministic to prevent relayers from front‑running or censoring deposits. Further MEV and censorship considerations are discussed in §18.</w:t>
      </w:r>
    </w:p>
    <w:p>
      <w:pPr>
        <w:pStyle w:val="BodyText"/>
      </w:pPr>
      <w:r>
        <w:t xml:space="preserve">Reward curves, inflation schedules and parameter defaults (e.g., (</w:t>
      </w:r>
      <w:r>
        <w:t xml:space="preserve">_p), bonding amounts) are specified in §12 Protocol Parameters and cross‑referenced in §22 References.</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2025-10-17T07:06:36Z</dcterms:created>
  <dcterms:modified xsi:type="dcterms:W3CDTF">2025-10-17T07:06:36Z</dcterms:modified>
</cp:coreProperties>
</file>

<file path=docProps/custom.xml><?xml version="1.0" encoding="utf-8"?>
<Properties xmlns="http://schemas.openxmlformats.org/officeDocument/2006/custom-properties" xmlns:vt="http://schemas.openxmlformats.org/officeDocument/2006/docPropsVTypes"/>
</file>