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notation-reference-guide"/>
    <w:p>
      <w:pPr>
        <w:pStyle w:val="Heading1"/>
      </w:pPr>
      <w:r>
        <w:t xml:space="preserve">2. Notation Reference Guide</w:t>
      </w:r>
    </w:p>
    <w:p>
      <w:pPr>
        <w:pStyle w:val="FirstParagraph"/>
      </w:pPr>
      <w:r>
        <w:t xml:space="preserve">This section centralises all symbols used throughout the specification. Each symbol is listed with its meaning, domain or unit, and (where applicable) a default value. Users should consult this guide whenever encountering unfamiliar variables. Symbols are sorted by thematic categories for ease of reference.</w:t>
      </w:r>
    </w:p>
    <w:bookmarkStart w:id="20" w:name="validator-set-and-committees"/>
    <w:p>
      <w:pPr>
        <w:pStyle w:val="Heading2"/>
      </w:pPr>
      <w:r>
        <w:t xml:space="preserve">2.1 Validator Set and Committees</w:t>
      </w:r>
    </w:p>
    <w:tbl>
      <w:tblPr>
        <w:tblStyle w:val="Table"/>
        <w:tblW w:type="pct" w:w="4938"/>
        <w:tblLook w:firstRow="1" w:lastRow="0" w:firstColumn="0" w:lastColumn="0" w:noHBand="0" w:noVBand="0" w:val="0020"/>
      </w:tblPr>
      <w:tblGrid>
        <w:gridCol w:w="885"/>
        <w:gridCol w:w="3148"/>
        <w:gridCol w:w="885"/>
        <w:gridCol w:w="2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number of active validators in the current epoch.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by staking participation.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number of Byzantine validators tolerated.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satisfy (f &lt; n/3) for consensus safety.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SXCP relayer validators for a given external chain.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governance per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number of faulty relayers tolerated per chain.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 &lt; k/3).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of all active validators.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at epoch boundaries.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 length in blocks.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10 000 blocks ≈5.5 h at 2 s/block.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blockchain indexed by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Examples: Ethereum, Bitcoin, Solana, Synergy sidechains.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Subset of validators selected for a round.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defined in §6.</w:t>
            </w:r>
          </w:p>
        </w:tc>
      </w:tr>
    </w:tbl>
    <w:bookmarkEnd w:id="20"/>
    <w:bookmarkStart w:id="21" w:name="network-timing-and-partial-synchrony"/>
    <w:p>
      <w:pPr>
        <w:pStyle w:val="Heading2"/>
      </w:pPr>
      <w:r>
        <w:t xml:space="preserve">2.2 Network Timing and Partial Synchrony</w:t>
      </w:r>
    </w:p>
    <w:tbl>
      <w:tblPr>
        <w:tblStyle w:val="Table"/>
        <w:tblW w:type="pct" w:w="4938"/>
        <w:tblLook w:firstRow="1" w:lastRow="0" w:firstColumn="0" w:lastColumn="0" w:noHBand="0" w:noVBand="0" w:val="0020"/>
      </w:tblPr>
      <w:tblGrid>
        <w:gridCol w:w="880"/>
        <w:gridCol w:w="3617"/>
        <w:gridCol w:w="880"/>
        <w:gridCol w:w="24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(GST)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stabilisation time after which network delays are bounded.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a priori.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 bound on message delay between honest nodes after GST.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Tuned via measurements; see §12.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clock skew between honest nodes after GST.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Tuned via NTP/PTP measurements.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(τ_x)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latency between Synergy relayers and external chain (C_i).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Chain‑specific; see external‑chain table in §1.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(τ_{,i})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block time of external chain (C_i).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 Ethereum ≈12 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(τ_i)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Finality latency of external chain (C_i) (probabilistic/deterministic).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 Ethereum ≈12–15 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(ρ_i)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reorg depth tolerated for chain (C_i).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Example: Bitcoin: 6 blocks.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timeout parameter controlling view‑change triggers.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Configurable; tuned in §10 and §12.</w:t>
            </w:r>
          </w:p>
        </w:tc>
      </w:tr>
    </w:tbl>
    <w:bookmarkEnd w:id="21"/>
    <w:bookmarkStart w:id="22" w:name="validator-weights-and-influence"/>
    <w:p>
      <w:pPr>
        <w:pStyle w:val="Heading2"/>
      </w:pPr>
      <w:r>
        <w:t xml:space="preserve">2.3 Validator Weights and Influence</w:t>
      </w:r>
    </w:p>
    <w:tbl>
      <w:tblPr>
        <w:tblStyle w:val="Table"/>
        <w:tblW w:type="pct" w:w="4941"/>
        <w:tblLook w:firstRow="1" w:lastRow="0" w:firstColumn="0" w:lastColumn="0" w:noHBand="0" w:noVBand="0" w:val="0020"/>
      </w:tblPr>
      <w:tblGrid>
        <w:gridCol w:w="1031"/>
        <w:gridCol w:w="3467"/>
        <w:gridCol w:w="843"/>
        <w:gridCol w:w="24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stake of validator (i) (SNRG tokens).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staking minimum.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(r_i)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Reputation score of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via exponential moving average; see §8.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score of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ℝ₊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ecosystem value and cross‑chain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(W_i)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Normalised weight of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(_i W_i=1); influences committee sampling.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(α_s), (α_r), (α_c)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Exponents controlling influence of stake, reputation, and contribution.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ℝ₊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parameters satisfying (α_s+α_r+α_c=1).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(β_c)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factor for normalising contribution scores.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ℝ₊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§8.</w:t>
            </w:r>
          </w:p>
        </w:tc>
      </w:tr>
    </w:tbl>
    <w:bookmarkEnd w:id="22"/>
    <w:bookmarkStart w:id="23" w:name="selection-and-sampling"/>
    <w:p>
      <w:pPr>
        <w:pStyle w:val="Heading2"/>
      </w:pPr>
      <w:r>
        <w:t xml:space="preserve">2.4 Selection and Sampling</w:t>
      </w:r>
    </w:p>
    <w:tbl>
      <w:tblPr>
        <w:tblStyle w:val="Table"/>
        <w:tblW w:type="pct" w:w="4941"/>
        <w:tblLook w:firstRow="1" w:lastRow="0" w:firstColumn="0" w:lastColumn="0" w:noHBand="0" w:noVBand="0" w:val="0020"/>
      </w:tblPr>
      <w:tblGrid>
        <w:gridCol w:w="843"/>
        <w:gridCol w:w="3186"/>
        <w:gridCol w:w="843"/>
        <w:gridCol w:w="29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number within an epoch.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at 0 each epoch.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selected as leader for round ().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Determined via VRF.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of validators sampled for round ().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Sampled proportional to (W_i).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(w_{})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Cool‑down window preventing immediate re‑selection of validators.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5 rounds.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multiplier for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Penalises validators with repeated co‑committee appearances.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penalty strength parameter.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ℝ₊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§6.</w:t>
            </w:r>
          </w:p>
        </w:tc>
      </w:tr>
    </w:tbl>
    <w:bookmarkEnd w:id="23"/>
    <w:bookmarkStart w:id="24" w:name="reputation-and-metrics"/>
    <w:p>
      <w:pPr>
        <w:pStyle w:val="Heading2"/>
      </w:pPr>
      <w:r>
        <w:t xml:space="preserve">2.5 Reputation and Metrics</w:t>
      </w:r>
    </w:p>
    <w:tbl>
      <w:tblPr>
        <w:tblStyle w:val="Table"/>
        <w:tblW w:type="pct" w:w="4942"/>
        <w:tblLook w:firstRow="1" w:lastRow="0" w:firstColumn="0" w:lastColumn="0" w:noHBand="0" w:noVBand="0" w:val="0020"/>
      </w:tblPr>
      <w:tblGrid>
        <w:gridCol w:w="1887"/>
        <w:gridCol w:w="2854"/>
        <w:gridCol w:w="828"/>
        <w:gridCol w:w="22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Reputation smoothing factor for exponential moving average.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0.1.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(u_i)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metric for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expected participations.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(o_i)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 metric for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valid votes submitted.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metric for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ℝ₊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response time (lower is better).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(q_i)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metric for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ℝ₊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via governance processes.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(w_{u}), (w_{o}), (w_{l}), (w_{q})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 for reputation components.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to 1; see §8.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(r_{}), (r_{})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and maximum reputation bounds.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Defaults: 0.2, 1.0.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service quality metric for relayer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accuracy of cross‑chain attestations.</w:t>
            </w:r>
          </w:p>
        </w:tc>
      </w:tr>
    </w:tbl>
    <w:bookmarkEnd w:id="24"/>
    <w:bookmarkStart w:id="25" w:name="slashing-and-penalties"/>
    <w:p>
      <w:pPr>
        <w:pStyle w:val="Heading2"/>
      </w:pPr>
      <w:r>
        <w:t xml:space="preserve">2.6 Slashing and Penalties</w:t>
      </w:r>
    </w:p>
    <w:tbl>
      <w:tblPr>
        <w:tblStyle w:val="Table"/>
        <w:tblW w:type="pct" w:w="4919"/>
        <w:tblLook w:firstRow="1" w:lastRow="0" w:firstColumn="0" w:lastColumn="0" w:noHBand="0" w:noVBand="0" w:val="0020"/>
      </w:tblPr>
      <w:tblGrid>
        <w:gridCol w:w="1159"/>
        <w:gridCol w:w="3541"/>
        <w:gridCol w:w="1159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(σ_0)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slashing 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5 % of stake.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(σ_r)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Reputation‑adjusted slashing component.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 with low reputation.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(σ_b)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slashing for bridge‑related misbehaviour.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relayer 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Jail duration measured in epochs.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3 epochs.</w:t>
            </w:r>
          </w:p>
        </w:tc>
      </w:tr>
    </w:tbl>
    <w:bookmarkEnd w:id="25"/>
    <w:bookmarkStart w:id="26" w:name="timing-and-timeouts"/>
    <w:p>
      <w:pPr>
        <w:pStyle w:val="Heading2"/>
      </w:pPr>
      <w:r>
        <w:t xml:space="preserve">2.7 Timing and Timeouts</w:t>
      </w:r>
    </w:p>
    <w:tbl>
      <w:tblPr>
        <w:tblStyle w:val="Table"/>
        <w:tblW w:type="pct" w:w="4922"/>
        <w:tblLook w:firstRow="1" w:lastRow="0" w:firstColumn="0" w:lastColumn="0" w:noHBand="0" w:noVBand="0" w:val="0020"/>
      </w:tblPr>
      <w:tblGrid>
        <w:gridCol w:w="1113"/>
        <w:gridCol w:w="4207"/>
        <w:gridCol w:w="1113"/>
        <w:gridCol w:w="13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(T_0)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timeout duration for round 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2 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back‑off multiplier.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2.0.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consecutive failed rounds triggering epoch extension.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latency for punctuality rewards.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1 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vote latency for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incentives.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(T_x)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timeout allowance for cross‑chain message propagation.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(τ_x).</w:t>
            </w:r>
          </w:p>
        </w:tc>
      </w:tr>
    </w:tbl>
    <w:bookmarkEnd w:id="26"/>
    <w:bookmarkStart w:id="27" w:name="epoch-and-randomness"/>
    <w:p>
      <w:pPr>
        <w:pStyle w:val="Heading2"/>
      </w:pPr>
      <w:r>
        <w:t xml:space="preserve">2.8 Epoch and Randomness</w:t>
      </w:r>
    </w:p>
    <w:tbl>
      <w:tblPr>
        <w:tblStyle w:val="Table"/>
        <w:tblW w:type="pct" w:w="4932"/>
        <w:tblLook w:firstRow="1" w:lastRow="0" w:firstColumn="0" w:lastColumn="0" w:noHBand="0" w:noVBand="0" w:val="0020"/>
      </w:tblPr>
      <w:tblGrid>
        <w:gridCol w:w="969"/>
        <w:gridCol w:w="3502"/>
        <w:gridCol w:w="969"/>
        <w:gridCol w:w="23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Epoch index.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at 0 at genesis.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index within an epoch (repeated from §2.4).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(S_e)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Randomness seed for epoch (e).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via Aegis threshold signatures.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footprint of a single Aegis signature.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2 kB (example).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footprint of a quorum certificate (aggregated signature).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committee size; see §7.</w:t>
            </w:r>
          </w:p>
        </w:tc>
      </w:tr>
    </w:tbl>
    <w:bookmarkEnd w:id="27"/>
    <w:bookmarkStart w:id="28" w:name="contribution-and-operator-metadata"/>
    <w:p>
      <w:pPr>
        <w:pStyle w:val="Heading2"/>
      </w:pPr>
      <w:r>
        <w:t xml:space="preserve">2.9 Contribution and Operator Metadata</w:t>
      </w:r>
    </w:p>
    <w:tbl>
      <w:tblPr>
        <w:tblStyle w:val="Table"/>
        <w:tblW w:type="pct" w:w="4937"/>
        <w:tblLook w:firstRow="1" w:lastRow="0" w:firstColumn="0" w:lastColumn="0" w:noHBand="0" w:noVBand="0" w:val="0020"/>
      </w:tblPr>
      <w:tblGrid>
        <w:gridCol w:w="902"/>
        <w:gridCol w:w="3007"/>
        <w:gridCol w:w="902"/>
        <w:gridCol w:w="30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(q_i)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score of validator (i) (repeated from §2.5).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ℝ₊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cohort identifier for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ASN, geography, organisational attestations.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co‑committee frequency for validator (i).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recent rounds served with same cohort.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co‑committee frequency under random mixing.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value (e.g., 0.05).</w:t>
            </w:r>
          </w:p>
        </w:tc>
      </w:tr>
    </w:tbl>
    <w:bookmarkEnd w:id="28"/>
    <w:bookmarkStart w:id="29" w:name="sxcp-and-relayer-parameters"/>
    <w:p>
      <w:pPr>
        <w:pStyle w:val="Heading2"/>
      </w:pPr>
      <w:r>
        <w:t xml:space="preserve">2.10 SXCP and Relayer Parameters</w:t>
      </w:r>
    </w:p>
    <w:tbl>
      <w:tblPr>
        <w:tblStyle w:val="Table"/>
        <w:tblW w:type="pct" w:w="4932"/>
        <w:tblLook w:firstRow="1" w:lastRow="0" w:firstColumn="0" w:lastColumn="0" w:noHBand="0" w:noVBand="0" w:val="0020"/>
      </w:tblPr>
      <w:tblGrid>
        <w:gridCol w:w="969"/>
        <w:gridCol w:w="3340"/>
        <w:gridCol w:w="969"/>
        <w:gridCol w:w="2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/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(ρ_{})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collateral required for SXCP relayer registration.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Governance‑defined.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(θ_{})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Weighting factor for relayer contribution in Synergy Score.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ℝ₊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Reflects importance of cross‑chain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Cross‑chain message fee paid to relayers.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message; see §8.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size of SXCP asynchronous queue.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1 000.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(_{})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tolerated out‑of‑order messages in SXCP.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Default: 100.</w:t>
            </w:r>
          </w:p>
        </w:tc>
      </w:tr>
    </w:tbl>
    <w:p>
      <w:pPr>
        <w:pStyle w:val="BodyText"/>
      </w:pPr>
      <w:r>
        <w:t xml:space="preserve">This guide should be updated whenever new symbols are introduced. For a complete index, see Appendix A.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2025-10-17T06:36:58Z</dcterms:created>
  <dcterms:modified xsi:type="dcterms:W3CDTF">2025-10-17T06:36:58Z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