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system-model-foundational-assumptions"/>
    <w:p>
      <w:pPr>
        <w:pStyle w:val="Heading1"/>
      </w:pPr>
      <w:r>
        <w:t xml:space="preserve">1. System Model &amp; Foundational Assumptions</w:t>
      </w:r>
    </w:p>
    <w:p>
      <w:pPr>
        <w:pStyle w:val="FirstParagraph"/>
      </w:pPr>
      <w:r>
        <w:t xml:space="preserve">This section formalises the network and adversarial assumptions under which Proof‑of‑Synergy (PoSy) operates. It defines the partial‑synchrony model, characterises validator dynamics, describes the adversary’s capabilities, establishes the cryptographic primitives, and specifies timing assumptions. Two additional subsections cover the sources of randomness used throughout the protocol and the dual‑quorum architecture that separates consensus validators from cross‑chain signers. These definitions serve as the foundation for the rest of the specification. Symbols introduced here are summarised in the symbol table at the end of the section, with further details provided in the Notation Reference Guide (§2).</w:t>
      </w:r>
    </w:p>
    <w:bookmarkStart w:id="23" w:name="network-model"/>
    <w:p>
      <w:pPr>
        <w:pStyle w:val="Heading2"/>
      </w:pPr>
      <w:r>
        <w:t xml:space="preserve">1.1 Network Model</w:t>
      </w:r>
    </w:p>
    <w:bookmarkStart w:id="20" w:name="partialsynchrony-model"/>
    <w:p>
      <w:pPr>
        <w:pStyle w:val="Heading3"/>
      </w:pPr>
      <w:r>
        <w:t xml:space="preserve">Partial‑Synchrony Model</w:t>
      </w:r>
    </w:p>
    <w:p>
      <w:pPr>
        <w:pStyle w:val="FirstParagraph"/>
      </w:pPr>
      <w:r>
        <w:t xml:space="preserve">PoSy assumes a</w:t>
      </w:r>
      <w:r>
        <w:t xml:space="preserve"> </w:t>
      </w:r>
      <w:r>
        <w:rPr>
          <w:bCs/>
          <w:b/>
        </w:rPr>
        <w:t xml:space="preserve">partially synchronous</w:t>
      </w:r>
      <w:r>
        <w:t xml:space="preserve"> </w:t>
      </w:r>
      <w:r>
        <w:t xml:space="preserve">network. There is an unknown</w:t>
      </w:r>
      <w:r>
        <w:t xml:space="preserve"> </w:t>
      </w:r>
      <w:r>
        <w:rPr>
          <w:bCs/>
          <w:b/>
        </w:rPr>
        <w:t xml:space="preserve">Global Stabilisation Time (GST)</w:t>
      </w:r>
      <w:r>
        <w:t xml:space="preserve"> </w:t>
      </w:r>
      <w:r>
        <w:t xml:space="preserve">after which the network behaves synchronously; before GST the adversary may delay messages arbitrarily. After GST, two bounds hold:</w:t>
      </w:r>
    </w:p>
    <w:p>
      <w:pPr>
        <w:numPr>
          <w:ilvl w:val="0"/>
          <w:numId w:val="1001"/>
        </w:numPr>
        <w:pStyle w:val="Compact"/>
      </w:pPr>
      <w:r>
        <w:rPr>
          <w:bCs/>
          <w:b/>
        </w:rPr>
        <w:t xml:space="preserve">Δ</w:t>
      </w:r>
      <w:r>
        <w:t xml:space="preserve"> – An upper bound on the time for any message sent by an honest node to be delivered to every honest node. Messages may be delayed, reordered or dropped before GST, but once the network stabilises, delivery occurs within Δ real‑time units.</w:t>
      </w:r>
    </w:p>
    <w:p>
      <w:pPr>
        <w:numPr>
          <w:ilvl w:val="0"/>
          <w:numId w:val="1001"/>
        </w:numPr>
        <w:pStyle w:val="Compact"/>
      </w:pPr>
      <w:r>
        <w:rPr>
          <w:bCs/>
          <w:b/>
        </w:rPr>
        <w:t xml:space="preserve">δ</w:t>
      </w:r>
      <w:r>
        <w:t xml:space="preserve"> – A bound on the maximum difference between local clocks of honest nodes. Clocks may drift before GST, but after stabilisation, the skew between any two honest clocks never exceeds δ.</w:t>
      </w:r>
    </w:p>
    <w:p>
      <w:pPr>
        <w:pStyle w:val="FirstParagraph"/>
      </w:pPr>
      <w:r>
        <w:t xml:space="preserve">These assumptions strike a balance between unrealistic synchrony (where delays are bounded from genesis) and pure asynchrony (which precludes deterministic liveness). Partial synchrony allows PoSy to guarantee safety at all times and liveness once the network stabilises. The</w:t>
      </w:r>
      <w:r>
        <w:t xml:space="preserve"> </w:t>
      </w:r>
      <w:r>
        <w:rPr>
          <w:bCs/>
          <w:b/>
        </w:rPr>
        <w:t xml:space="preserve">Synergy Cross‑Chain Protocol (SXCP)</w:t>
      </w:r>
      <w:r>
        <w:t xml:space="preserve"> </w:t>
      </w:r>
      <w:r>
        <w:t xml:space="preserve">runs on a separate asynchronous plane; its relayers tolerate unbounded delays indefinitely and do not affect consensus liveness.</w:t>
      </w:r>
    </w:p>
    <w:bookmarkEnd w:id="20"/>
    <w:bookmarkStart w:id="21" w:name="message-delivery-properties"/>
    <w:p>
      <w:pPr>
        <w:pStyle w:val="Heading3"/>
      </w:pPr>
      <w:r>
        <w:t xml:space="preserve">Message Delivery Properties</w:t>
      </w:r>
    </w:p>
    <w:p>
      <w:pPr>
        <w:pStyle w:val="FirstParagraph"/>
      </w:pPr>
      <w:r>
        <w:t xml:space="preserve">Under the partial‑synchrony model, message delivery follows these properties:</w:t>
      </w:r>
    </w:p>
    <w:p>
      <w:pPr>
        <w:numPr>
          <w:ilvl w:val="0"/>
          <w:numId w:val="1002"/>
        </w:numPr>
        <w:pStyle w:val="Compact"/>
      </w:pPr>
      <w:r>
        <w:rPr>
          <w:bCs/>
          <w:b/>
        </w:rPr>
        <w:t xml:space="preserve">Eventual delivery:</w:t>
      </w:r>
      <w:r>
        <w:t xml:space="preserve"> </w:t>
      </w:r>
      <w:r>
        <w:t xml:space="preserve">All messages sent by honest validators are eventually received by all honest validators.</w:t>
      </w:r>
    </w:p>
    <w:p>
      <w:pPr>
        <w:numPr>
          <w:ilvl w:val="0"/>
          <w:numId w:val="1002"/>
        </w:numPr>
        <w:pStyle w:val="Compact"/>
      </w:pPr>
      <w:r>
        <w:rPr>
          <w:bCs/>
          <w:b/>
        </w:rPr>
        <w:t xml:space="preserve">Adversarial delays:</w:t>
      </w:r>
      <w:r>
        <w:t xml:space="preserve"> </w:t>
      </w:r>
      <w:r>
        <w:t xml:space="preserve">An adaptive adversary may arbitrarily delay, drop or reorder messages during the asynchronous period (before GST).</w:t>
      </w:r>
    </w:p>
    <w:p>
      <w:pPr>
        <w:numPr>
          <w:ilvl w:val="0"/>
          <w:numId w:val="1002"/>
        </w:numPr>
        <w:pStyle w:val="Compact"/>
      </w:pPr>
      <w:r>
        <w:rPr>
          <w:bCs/>
          <w:b/>
        </w:rPr>
        <w:t xml:space="preserve">Topology specialisation:</w:t>
      </w:r>
      <w:r>
        <w:t xml:space="preserve"> </w:t>
      </w:r>
      <w:r>
        <w:t xml:space="preserve">Consensus validators maintain a low‑latency, full‑mesh overlay for block propagation. SXCP relayers maintain connections to external chains through RPC endpoints, often over higher‑latency wide‑area networks. Cross‑chain messages therefore experience additional latency, captured by the parameter τₓ for each chain (§2.2).</w:t>
      </w:r>
    </w:p>
    <w:bookmarkEnd w:id="21"/>
    <w:bookmarkStart w:id="22" w:name="externalchain-assumptions"/>
    <w:p>
      <w:pPr>
        <w:pStyle w:val="Heading3"/>
      </w:pPr>
      <w:r>
        <w:t xml:space="preserve">External‑Chain Assumptions</w:t>
      </w:r>
    </w:p>
    <w:p>
      <w:pPr>
        <w:pStyle w:val="FirstParagraph"/>
      </w:pPr>
      <w:r>
        <w:t xml:space="preserve">PoSy interoperates with external blockchains through SXCP. Each external chain (C_i) is characterised by parameters summarised below. These values are configurable by governance and subject to change; they illustrate typical defaults used in Synergy:</w:t>
      </w:r>
    </w:p>
    <w:tbl>
      <w:tblPr>
        <w:tblStyle w:val="Table"/>
        <w:tblW w:type="pct" w:w="5000"/>
        <w:tblLook w:firstRow="1" w:lastRow="0" w:firstColumn="0" w:lastColumn="0" w:noHBand="0" w:noVBand="0" w:val="0020"/>
      </w:tblPr>
      <w:tblGrid>
        <w:gridCol w:w="1006"/>
        <w:gridCol w:w="939"/>
        <w:gridCol w:w="1006"/>
        <w:gridCol w:w="1073"/>
        <w:gridCol w:w="1275"/>
        <w:gridCol w:w="1006"/>
        <w:gridCol w:w="1610"/>
      </w:tblGrid>
      <w:tr>
        <w:trPr>
          <w:tblHeader w:val="true"/>
        </w:trPr>
        <w:tc>
          <w:tcPr/>
          <w:p>
            <w:pPr>
              <w:pStyle w:val="Compact"/>
              <w:jc w:val="left"/>
            </w:pPr>
            <w:r>
              <w:t xml:space="preserve">Chain (C_i)</w:t>
            </w:r>
          </w:p>
        </w:tc>
        <w:tc>
          <w:tcPr/>
          <w:p>
            <w:pPr>
              <w:pStyle w:val="Compact"/>
              <w:jc w:val="left"/>
            </w:pPr>
            <w:r>
              <w:t xml:space="preserve">Finality type</w:t>
            </w:r>
          </w:p>
        </w:tc>
        <w:tc>
          <w:tcPr/>
          <w:p>
            <w:pPr>
              <w:pStyle w:val="Compact"/>
              <w:jc w:val="left"/>
            </w:pPr>
            <w:r>
              <w:t xml:space="preserve">Reorg depth (ρ_i)</w:t>
            </w:r>
          </w:p>
        </w:tc>
        <w:tc>
          <w:tcPr/>
          <w:p>
            <w:pPr>
              <w:pStyle w:val="Compact"/>
              <w:jc w:val="left"/>
            </w:pPr>
            <w:r>
              <w:t xml:space="preserve">Block time (τ_{,i})</w:t>
            </w:r>
          </w:p>
        </w:tc>
        <w:tc>
          <w:tcPr/>
          <w:p>
            <w:pPr>
              <w:pStyle w:val="Compact"/>
              <w:jc w:val="left"/>
            </w:pPr>
            <w:r>
              <w:t xml:space="preserve">Finality latency (τ_i)</w:t>
            </w:r>
          </w:p>
        </w:tc>
        <w:tc>
          <w:tcPr/>
          <w:p>
            <w:pPr>
              <w:pStyle w:val="Compact"/>
              <w:jc w:val="left"/>
            </w:pPr>
            <w:r>
              <w:t xml:space="preserve">Proof format</w:t>
            </w:r>
          </w:p>
        </w:tc>
        <w:tc>
          <w:tcPr/>
          <w:p>
            <w:pPr>
              <w:pStyle w:val="Compact"/>
              <w:jc w:val="left"/>
            </w:pPr>
            <w:r>
              <w:t xml:space="preserve">External latency (τ_x)</w:t>
            </w:r>
          </w:p>
        </w:tc>
      </w:tr>
      <w:tr>
        <w:tc>
          <w:tcPr/>
          <w:p>
            <w:pPr>
              <w:pStyle w:val="Compact"/>
              <w:jc w:val="left"/>
            </w:pPr>
            <w:r>
              <w:rPr>
                <w:bCs/>
                <w:b/>
              </w:rPr>
              <w:t xml:space="preserve">Ethereum</w:t>
            </w:r>
          </w:p>
        </w:tc>
        <w:tc>
          <w:tcPr/>
          <w:p>
            <w:pPr>
              <w:pStyle w:val="Compact"/>
              <w:jc w:val="left"/>
            </w:pPr>
            <w:r>
              <w:t xml:space="preserve">Probabilistic</w:t>
            </w:r>
          </w:p>
        </w:tc>
        <w:tc>
          <w:tcPr/>
          <w:p>
            <w:pPr>
              <w:pStyle w:val="Compact"/>
              <w:jc w:val="left"/>
            </w:pPr>
            <w:r>
              <w:t xml:space="preserve">25 blocks</w:t>
            </w:r>
          </w:p>
        </w:tc>
        <w:tc>
          <w:tcPr/>
          <w:p>
            <w:pPr>
              <w:pStyle w:val="Compact"/>
              <w:jc w:val="left"/>
            </w:pPr>
            <w:r>
              <w:t xml:space="preserve">12 s</w:t>
            </w:r>
          </w:p>
        </w:tc>
        <w:tc>
          <w:tcPr/>
          <w:p>
            <w:pPr>
              <w:pStyle w:val="Compact"/>
              <w:jc w:val="left"/>
            </w:pPr>
            <w:r>
              <w:t xml:space="preserve">≈12–15 min</w:t>
            </w:r>
          </w:p>
        </w:tc>
        <w:tc>
          <w:tcPr/>
          <w:p>
            <w:pPr>
              <w:pStyle w:val="Compact"/>
              <w:jc w:val="left"/>
            </w:pPr>
            <w:r>
              <w:t xml:space="preserve">Merkle + finality signature</w:t>
            </w:r>
          </w:p>
        </w:tc>
        <w:tc>
          <w:tcPr/>
          <w:p>
            <w:pPr>
              <w:pStyle w:val="Compact"/>
              <w:jc w:val="left"/>
            </w:pPr>
            <w:r>
              <w:t xml:space="preserve">High (≈1 min)</w:t>
            </w:r>
          </w:p>
        </w:tc>
      </w:tr>
      <w:tr>
        <w:tc>
          <w:tcPr/>
          <w:p>
            <w:pPr>
              <w:pStyle w:val="Compact"/>
              <w:jc w:val="left"/>
            </w:pPr>
            <w:r>
              <w:rPr>
                <w:bCs/>
                <w:b/>
              </w:rPr>
              <w:t xml:space="preserve">Bitcoin</w:t>
            </w:r>
          </w:p>
        </w:tc>
        <w:tc>
          <w:tcPr/>
          <w:p>
            <w:pPr>
              <w:pStyle w:val="Compact"/>
              <w:jc w:val="left"/>
            </w:pPr>
            <w:r>
              <w:t xml:space="preserve">Probabilistic</w:t>
            </w:r>
          </w:p>
        </w:tc>
        <w:tc>
          <w:tcPr/>
          <w:p>
            <w:pPr>
              <w:pStyle w:val="Compact"/>
              <w:jc w:val="left"/>
            </w:pPr>
            <w:r>
              <w:t xml:space="preserve">6 blocks</w:t>
            </w:r>
          </w:p>
        </w:tc>
        <w:tc>
          <w:tcPr/>
          <w:p>
            <w:pPr>
              <w:pStyle w:val="Compact"/>
              <w:jc w:val="left"/>
            </w:pPr>
            <w:r>
              <w:t xml:space="preserve">10 min</w:t>
            </w:r>
          </w:p>
        </w:tc>
        <w:tc>
          <w:tcPr/>
          <w:p>
            <w:pPr>
              <w:pStyle w:val="Compact"/>
              <w:jc w:val="left"/>
            </w:pPr>
            <w:r>
              <w:t xml:space="preserve">≈60 min</w:t>
            </w:r>
          </w:p>
        </w:tc>
        <w:tc>
          <w:tcPr/>
          <w:p>
            <w:pPr>
              <w:pStyle w:val="Compact"/>
              <w:jc w:val="left"/>
            </w:pPr>
            <w:r>
              <w:t xml:space="preserve">SPV proof</w:t>
            </w:r>
          </w:p>
        </w:tc>
        <w:tc>
          <w:tcPr/>
          <w:p>
            <w:pPr>
              <w:pStyle w:val="Compact"/>
              <w:jc w:val="left"/>
            </w:pPr>
            <w:r>
              <w:t xml:space="preserve">High (≈10 min)</w:t>
            </w:r>
          </w:p>
        </w:tc>
      </w:tr>
      <w:tr>
        <w:tc>
          <w:tcPr/>
          <w:p>
            <w:pPr>
              <w:pStyle w:val="Compact"/>
              <w:jc w:val="left"/>
            </w:pPr>
            <w:r>
              <w:rPr>
                <w:bCs/>
                <w:b/>
              </w:rPr>
              <w:t xml:space="preserve">Solana</w:t>
            </w:r>
          </w:p>
        </w:tc>
        <w:tc>
          <w:tcPr/>
          <w:p>
            <w:pPr>
              <w:pStyle w:val="Compact"/>
              <w:jc w:val="left"/>
            </w:pPr>
            <w:r>
              <w:t xml:space="preserve">Deterministic</w:t>
            </w:r>
          </w:p>
        </w:tc>
        <w:tc>
          <w:tcPr/>
          <w:p>
            <w:pPr>
              <w:pStyle w:val="Compact"/>
              <w:jc w:val="left"/>
            </w:pPr>
            <w:r>
              <w:t xml:space="preserve">0–1 blocks</w:t>
            </w:r>
          </w:p>
        </w:tc>
        <w:tc>
          <w:tcPr/>
          <w:p>
            <w:pPr>
              <w:pStyle w:val="Compact"/>
              <w:jc w:val="left"/>
            </w:pPr>
            <w:r>
              <w:t xml:space="preserve">0.4 s</w:t>
            </w:r>
          </w:p>
        </w:tc>
        <w:tc>
          <w:tcPr/>
          <w:p>
            <w:pPr>
              <w:pStyle w:val="Compact"/>
              <w:jc w:val="left"/>
            </w:pPr>
            <w:r>
              <w:t xml:space="preserve">≈13 s</w:t>
            </w:r>
          </w:p>
        </w:tc>
        <w:tc>
          <w:tcPr/>
          <w:p>
            <w:pPr>
              <w:pStyle w:val="Compact"/>
              <w:jc w:val="left"/>
            </w:pPr>
            <w:r>
              <w:t xml:space="preserve">BFT finality proof</w:t>
            </w:r>
          </w:p>
        </w:tc>
        <w:tc>
          <w:tcPr/>
          <w:p>
            <w:pPr>
              <w:pStyle w:val="Compact"/>
              <w:jc w:val="left"/>
            </w:pPr>
            <w:r>
              <w:t xml:space="preserve">Low (≈5 s)</w:t>
            </w:r>
          </w:p>
        </w:tc>
      </w:tr>
      <w:tr>
        <w:tc>
          <w:tcPr/>
          <w:p>
            <w:pPr>
              <w:pStyle w:val="Compact"/>
              <w:jc w:val="left"/>
            </w:pPr>
            <w:r>
              <w:rPr>
                <w:bCs/>
                <w:b/>
              </w:rPr>
              <w:t xml:space="preserve">Synergy sidechains</w:t>
            </w:r>
          </w:p>
        </w:tc>
        <w:tc>
          <w:tcPr/>
          <w:p>
            <w:pPr>
              <w:pStyle w:val="Compact"/>
              <w:jc w:val="left"/>
            </w:pPr>
            <w:r>
              <w:t xml:space="preserve">Deterministic</w:t>
            </w:r>
          </w:p>
        </w:tc>
        <w:tc>
          <w:tcPr/>
          <w:p>
            <w:pPr>
              <w:pStyle w:val="Compact"/>
              <w:jc w:val="left"/>
            </w:pPr>
            <w:r>
              <w:t xml:space="preserve">0</w:t>
            </w:r>
          </w:p>
        </w:tc>
        <w:tc>
          <w:tcPr/>
          <w:p>
            <w:pPr>
              <w:pStyle w:val="Compact"/>
              <w:jc w:val="left"/>
            </w:pPr>
            <w:r>
              <w:t xml:space="preserve">configurable</w:t>
            </w:r>
          </w:p>
        </w:tc>
        <w:tc>
          <w:tcPr/>
          <w:p>
            <w:pPr>
              <w:pStyle w:val="Compact"/>
              <w:jc w:val="left"/>
            </w:pPr>
            <w:r>
              <w:t xml:space="preserve">configurable</w:t>
            </w:r>
          </w:p>
        </w:tc>
        <w:tc>
          <w:tcPr/>
          <w:p>
            <w:pPr>
              <w:pStyle w:val="Compact"/>
              <w:jc w:val="left"/>
            </w:pPr>
            <w:r>
              <w:t xml:space="preserve">Aegis signature proof</w:t>
            </w:r>
          </w:p>
        </w:tc>
        <w:tc>
          <w:tcPr/>
          <w:p>
            <w:pPr>
              <w:pStyle w:val="Compact"/>
              <w:jc w:val="left"/>
            </w:pPr>
            <w:r>
              <w:t xml:space="preserve">Low (≈1 s)</w:t>
            </w:r>
          </w:p>
        </w:tc>
      </w:tr>
    </w:tbl>
    <w:p>
      <w:pPr>
        <w:pStyle w:val="BodyText"/>
      </w:pPr>
      <w:r>
        <w:rPr>
          <w:bCs/>
          <w:b/>
        </w:rPr>
        <w:t xml:space="preserve">Finality type</w:t>
      </w:r>
      <w:r>
        <w:t xml:space="preserve"> </w:t>
      </w:r>
      <w:r>
        <w:t xml:space="preserve">denotes whether the chain has deterministic finality (BFT) or probabilistic finality (Nakamoto).</w:t>
      </w:r>
      <w:r>
        <w:t xml:space="preserve"> </w:t>
      </w:r>
      <w:r>
        <w:rPr>
          <w:bCs/>
          <w:b/>
        </w:rPr>
        <w:t xml:space="preserve">Reorg depth</w:t>
      </w:r>
      <w:r>
        <w:t xml:space="preserve"> </w:t>
      </w:r>
      <w:r>
        <w:t xml:space="preserve">(ρ_i) is the maximum depth of a chain reorganisation that PoSy tolerates when considering external events.</w:t>
      </w:r>
      <w:r>
        <w:t xml:space="preserve"> </w:t>
      </w:r>
      <w:r>
        <w:rPr>
          <w:bCs/>
          <w:b/>
        </w:rPr>
        <w:t xml:space="preserve">Block time</w:t>
      </w:r>
      <w:r>
        <w:t xml:space="preserve"> </w:t>
      </w:r>
      <w:r>
        <w:t xml:space="preserve">(τ_{,i}) is the average time between blocks.</w:t>
      </w:r>
      <w:r>
        <w:t xml:space="preserve"> </w:t>
      </w:r>
      <w:r>
        <w:rPr>
          <w:bCs/>
          <w:b/>
        </w:rPr>
        <w:t xml:space="preserve">Finality latency</w:t>
      </w:r>
      <w:r>
        <w:t xml:space="preserve"> </w:t>
      </w:r>
      <w:r>
        <w:t xml:space="preserve">(τ_i) is the time after which blocks are considered final with high confidence.</w:t>
      </w:r>
      <w:r>
        <w:t xml:space="preserve"> </w:t>
      </w:r>
      <w:r>
        <w:rPr>
          <w:bCs/>
          <w:b/>
        </w:rPr>
        <w:t xml:space="preserve">Proof format</w:t>
      </w:r>
      <w:r>
        <w:t xml:space="preserve"> </w:t>
      </w:r>
      <w:r>
        <w:t xml:space="preserve">specifies the type of proof required to verify a state or event (e.g., Merkle proof, finality signature).</w:t>
      </w:r>
      <w:r>
        <w:t xml:space="preserve"> </w:t>
      </w:r>
      <w:r>
        <w:rPr>
          <w:bCs/>
          <w:b/>
        </w:rPr>
        <w:t xml:space="preserve">External latency</w:t>
      </w:r>
      <w:r>
        <w:t xml:space="preserve"> </w:t>
      </w:r>
      <w:r>
        <w:t xml:space="preserve">(τ_x) captures the network latency between Synergy relayers and external chain nodes. These parameters are referenced in the Notation Reference Guide (§2) and further refined in §19 (Compatibility &amp; Interoperability).</w:t>
      </w:r>
    </w:p>
    <w:bookmarkEnd w:id="22"/>
    <w:bookmarkEnd w:id="23"/>
    <w:bookmarkStart w:id="27" w:name="validator-set-dynamics"/>
    <w:p>
      <w:pPr>
        <w:pStyle w:val="Heading2"/>
      </w:pPr>
      <w:r>
        <w:t xml:space="preserve">1.2 Validator Set Dynamics</w:t>
      </w:r>
    </w:p>
    <w:bookmarkStart w:id="24" w:name="dynamic-participation"/>
    <w:p>
      <w:pPr>
        <w:pStyle w:val="Heading3"/>
      </w:pPr>
      <w:r>
        <w:t xml:space="preserve">Dynamic Participation</w:t>
      </w:r>
    </w:p>
    <w:p>
      <w:pPr>
        <w:pStyle w:val="FirstParagraph"/>
      </w:pPr>
      <w:r>
        <w:t xml:space="preserve">The validator set (</w:t>
      </w:r>
      <w:r>
        <w:t xml:space="preserve">) is dynamic. Validators join by locking Synergy tokens, declaring their specialised roles and registering an Aegis public key. Validators leave through an</w:t>
      </w:r>
      <w:r>
        <w:t xml:space="preserve"> </w:t>
      </w:r>
      <w:r>
        <w:rPr>
          <w:bCs/>
          <w:b/>
        </w:rPr>
        <w:t xml:space="preserve">unbonding</w:t>
      </w:r>
      <w:r>
        <w:t xml:space="preserve"> </w:t>
      </w:r>
      <w:r>
        <w:t xml:space="preserve">process that enforces a delay between exit declaration and stake withdrawal, during which misbehaviour evidence may be submitted. Participation can change through:</w:t>
      </w:r>
    </w:p>
    <w:p>
      <w:pPr>
        <w:numPr>
          <w:ilvl w:val="0"/>
          <w:numId w:val="1003"/>
        </w:numPr>
        <w:pStyle w:val="Compact"/>
      </w:pPr>
      <w:r>
        <w:rPr>
          <w:bCs/>
          <w:b/>
        </w:rPr>
        <w:t xml:space="preserve">Staking:</w:t>
      </w:r>
      <w:r>
        <w:t xml:space="preserve"> </w:t>
      </w:r>
      <w:r>
        <w:t xml:space="preserve">validators deposit tokens and register their role (consensus, SXCP relayer, witness/oracle). Role registration determines eligibility for committees and reward pools.</w:t>
      </w:r>
    </w:p>
    <w:p>
      <w:pPr>
        <w:numPr>
          <w:ilvl w:val="0"/>
          <w:numId w:val="1003"/>
        </w:numPr>
        <w:pStyle w:val="Compact"/>
      </w:pPr>
      <w:r>
        <w:rPr>
          <w:bCs/>
          <w:b/>
        </w:rPr>
        <w:t xml:space="preserve">Unstaking:</w:t>
      </w:r>
      <w:r>
        <w:t xml:space="preserve"> </w:t>
      </w:r>
      <w:r>
        <w:t xml:space="preserve">validators initiate exit. Their stake is locked for a</w:t>
      </w:r>
      <w:r>
        <w:t xml:space="preserve"> </w:t>
      </w:r>
      <w:r>
        <w:rPr>
          <w:bCs/>
          <w:b/>
        </w:rPr>
        <w:t xml:space="preserve">jail period</w:t>
      </w:r>
      <w:r>
        <w:t xml:space="preserve"> </w:t>
      </w:r>
      <w:r>
        <w:t xml:space="preserve">to allow detection of misbehaviour (§9). After unbonding, their keys are deactivated and removed from active sets.</w:t>
      </w:r>
    </w:p>
    <w:p>
      <w:pPr>
        <w:numPr>
          <w:ilvl w:val="0"/>
          <w:numId w:val="1003"/>
        </w:numPr>
        <w:pStyle w:val="Compact"/>
      </w:pPr>
      <w:r>
        <w:rPr>
          <w:bCs/>
          <w:b/>
        </w:rPr>
        <w:t xml:space="preserve">Slashing:</w:t>
      </w:r>
      <w:r>
        <w:t xml:space="preserve"> </w:t>
      </w:r>
      <w:r>
        <w:t xml:space="preserve">misbehaviour (e.g., equivocation, invalid proofs, cross‑chain mis-signing) triggers stake penalties and removal. Slashed validators enter jail and may be barred from rejoining.</w:t>
      </w:r>
    </w:p>
    <w:p>
      <w:pPr>
        <w:numPr>
          <w:ilvl w:val="0"/>
          <w:numId w:val="1003"/>
        </w:numPr>
        <w:pStyle w:val="Compact"/>
      </w:pPr>
      <w:r>
        <w:rPr>
          <w:bCs/>
          <w:b/>
        </w:rPr>
        <w:t xml:space="preserve">Governance updates:</w:t>
      </w:r>
      <w:r>
        <w:t xml:space="preserve"> </w:t>
      </w:r>
      <w:r>
        <w:t xml:space="preserve">parameter changes proposed through on‑chain governance can adjust stake requirements, role ratios, or weight exponents (§12).</w:t>
      </w:r>
    </w:p>
    <w:bookmarkEnd w:id="24"/>
    <w:bookmarkStart w:id="25" w:name="role-registration-and-specialisation"/>
    <w:p>
      <w:pPr>
        <w:pStyle w:val="Heading3"/>
      </w:pPr>
      <w:r>
        <w:t xml:space="preserve">Role Registration and Specialisation</w:t>
      </w:r>
    </w:p>
    <w:p>
      <w:pPr>
        <w:pStyle w:val="FirstParagraph"/>
      </w:pPr>
      <w:r>
        <w:t xml:space="preserve">Synergy separates responsibilities into specialised roles to enhance security and scalability. When staking, a validator selects one or more roles:</w:t>
      </w:r>
    </w:p>
    <w:p>
      <w:pPr>
        <w:numPr>
          <w:ilvl w:val="0"/>
          <w:numId w:val="1004"/>
        </w:numPr>
        <w:pStyle w:val="Compact"/>
      </w:pPr>
      <w:r>
        <w:rPr>
          <w:bCs/>
          <w:b/>
        </w:rPr>
        <w:t xml:space="preserve">Consensus Validator:</w:t>
      </w:r>
      <w:r>
        <w:t xml:space="preserve"> </w:t>
      </w:r>
      <w:r>
        <w:t xml:space="preserve">participates in block proposal, voting and finalisation. Their weight influences leader and committee selection. They maintain the BFT plane of PoSy.</w:t>
      </w:r>
    </w:p>
    <w:p>
      <w:pPr>
        <w:numPr>
          <w:ilvl w:val="0"/>
          <w:numId w:val="1004"/>
        </w:numPr>
        <w:pStyle w:val="Compact"/>
      </w:pPr>
      <w:r>
        <w:rPr>
          <w:bCs/>
          <w:b/>
        </w:rPr>
        <w:t xml:space="preserve">SXCP Relayer:</w:t>
      </w:r>
      <w:r>
        <w:t xml:space="preserve"> </w:t>
      </w:r>
      <w:r>
        <w:t xml:space="preserve">observes external chains, packages events, generates proofs and broadcasts cross‑chain messages. Relayers are bonded separately and subject to additional slashing conditions. Their actions do not influence block consensus.</w:t>
      </w:r>
    </w:p>
    <w:p>
      <w:pPr>
        <w:numPr>
          <w:ilvl w:val="0"/>
          <w:numId w:val="1004"/>
        </w:numPr>
        <w:pStyle w:val="Compact"/>
      </w:pPr>
      <w:r>
        <w:rPr>
          <w:bCs/>
          <w:b/>
        </w:rPr>
        <w:t xml:space="preserve">Witness/Oracle:</w:t>
      </w:r>
      <w:r>
        <w:t xml:space="preserve"> </w:t>
      </w:r>
      <w:r>
        <w:t xml:space="preserve">provides attestations about external data (prices, governance outcomes, random beacons). Witnesses sign statements included in SXCP messages.</w:t>
      </w:r>
    </w:p>
    <w:p>
      <w:pPr>
        <w:pStyle w:val="FirstParagraph"/>
      </w:pPr>
      <w:r>
        <w:t xml:space="preserve">Validators may operate multiple roles if they meet the respective bonding and diversity requirements. Role registration is reflected in the</w:t>
      </w:r>
      <w:r>
        <w:t xml:space="preserve"> </w:t>
      </w:r>
      <w:r>
        <w:rPr>
          <w:bCs/>
          <w:b/>
        </w:rPr>
        <w:t xml:space="preserve">Universal Meta‑Address (UMA)</w:t>
      </w:r>
      <w:r>
        <w:t xml:space="preserve"> </w:t>
      </w:r>
      <w:r>
        <w:t xml:space="preserve">metadata (§25) and influences Synergy Score weights (§8).</w:t>
      </w:r>
    </w:p>
    <w:bookmarkEnd w:id="25"/>
    <w:bookmarkStart w:id="26" w:name="epoch-structure"/>
    <w:p>
      <w:pPr>
        <w:pStyle w:val="Heading3"/>
      </w:pPr>
      <w:r>
        <w:t xml:space="preserve">Epoch Structure</w:t>
      </w:r>
    </w:p>
    <w:p>
      <w:pPr>
        <w:pStyle w:val="FirstParagraph"/>
      </w:pPr>
      <w:r>
        <w:t xml:space="preserve">Time is partitioned into epochs of length (L) blocks (default (L = 10{,}000)). At the start of each epoch, the validator set, their weights, reputations and random beacons are frozen. Changes in stake or role take effect only at epoch boundaries. Epoch boundaries align with</w:t>
      </w:r>
      <w:r>
        <w:t xml:space="preserve"> </w:t>
      </w:r>
      <w:r>
        <w:rPr>
          <w:bCs/>
          <w:b/>
        </w:rPr>
        <w:t xml:space="preserve">SXCP checkpoints</w:t>
      </w:r>
      <w:r>
        <w:t xml:space="preserve"> </w:t>
      </w:r>
      <w:r>
        <w:t xml:space="preserve">to facilitate aggregation of cross‑chain proofs and rotation of relayer committees (§11, §24). Epochs provide predictable windows for reward distribution, key rotation and governance updates.</w:t>
      </w:r>
    </w:p>
    <w:bookmarkEnd w:id="26"/>
    <w:bookmarkEnd w:id="27"/>
    <w:bookmarkStart w:id="28" w:name="adversary-model"/>
    <w:p>
      <w:pPr>
        <w:pStyle w:val="Heading2"/>
      </w:pPr>
      <w:r>
        <w:t xml:space="preserve">1.3 Adversary Model</w:t>
      </w:r>
    </w:p>
    <w:p>
      <w:pPr>
        <w:pStyle w:val="FirstParagraph"/>
      </w:pPr>
      <w:r>
        <w:t xml:space="preserve">PoSy is designed to be secure against powerful adversaries. We model several adversary types with distinct capabilities. The adversary may be</w:t>
      </w:r>
      <w:r>
        <w:t xml:space="preserve"> </w:t>
      </w:r>
      <w:r>
        <w:rPr>
          <w:bCs/>
          <w:b/>
        </w:rPr>
        <w:t xml:space="preserve">static</w:t>
      </w:r>
      <w:r>
        <w:t xml:space="preserve"> </w:t>
      </w:r>
      <w:r>
        <w:t xml:space="preserve">(selecting which nodes to corrupt at genesis) or</w:t>
      </w:r>
      <w:r>
        <w:t xml:space="preserve"> </w:t>
      </w:r>
      <w:r>
        <w:rPr>
          <w:bCs/>
          <w:b/>
        </w:rPr>
        <w:t xml:space="preserve">adaptive</w:t>
      </w:r>
      <w:r>
        <w:t xml:space="preserve"> </w:t>
      </w:r>
      <w:r>
        <w:t xml:space="preserve">(choosing targets over time based on observed protocol state). We distinguish between</w:t>
      </w:r>
      <w:r>
        <w:t xml:space="preserve"> </w:t>
      </w:r>
      <w:r>
        <w:rPr>
          <w:bCs/>
          <w:b/>
        </w:rPr>
        <w:t xml:space="preserve">Byzantine</w:t>
      </w:r>
      <w:r>
        <w:t xml:space="preserve"> </w:t>
      </w:r>
      <w:r>
        <w:t xml:space="preserve">adversaries who control nodes within the protocol and</w:t>
      </w:r>
      <w:r>
        <w:t xml:space="preserve"> </w:t>
      </w:r>
      <w:r>
        <w:rPr>
          <w:bCs/>
          <w:b/>
        </w:rPr>
        <w:t xml:space="preserve">network</w:t>
      </w:r>
      <w:r>
        <w:t xml:space="preserve"> </w:t>
      </w:r>
      <w:r>
        <w:t xml:space="preserve">adversaries who control message delivery. Additionally,</w:t>
      </w:r>
      <w:r>
        <w:t xml:space="preserve"> </w:t>
      </w:r>
      <w:r>
        <w:rPr>
          <w:bCs/>
          <w:b/>
        </w:rPr>
        <w:t xml:space="preserve">cross‑chain</w:t>
      </w:r>
      <w:r>
        <w:t xml:space="preserve"> </w:t>
      </w:r>
      <w:r>
        <w:t xml:space="preserve">attackers may attempt to manipulate external chains or collude with relayers.</w:t>
      </w:r>
    </w:p>
    <w:tbl>
      <w:tblPr>
        <w:tblStyle w:val="Table"/>
        <w:tblW w:type="pct" w:w="5000"/>
        <w:tblLook w:firstRow="1" w:lastRow="0" w:firstColumn="0" w:lastColumn="0" w:noHBand="0" w:noVBand="0" w:val="0020"/>
      </w:tblPr>
      <w:tblGrid>
        <w:gridCol w:w="2121"/>
        <w:gridCol w:w="1838"/>
        <w:gridCol w:w="1131"/>
        <w:gridCol w:w="2828"/>
      </w:tblGrid>
      <w:tr>
        <w:trPr>
          <w:tblHeader w:val="true"/>
        </w:trPr>
        <w:tc>
          <w:tcPr/>
          <w:p>
            <w:pPr>
              <w:pStyle w:val="Compact"/>
              <w:jc w:val="left"/>
            </w:pPr>
            <w:r>
              <w:t xml:space="preserve">Adversary type</w:t>
            </w:r>
          </w:p>
        </w:tc>
        <w:tc>
          <w:tcPr/>
          <w:p>
            <w:pPr>
              <w:pStyle w:val="Compact"/>
              <w:jc w:val="left"/>
            </w:pPr>
            <w:r>
              <w:t xml:space="preserve">Capabilities</w:t>
            </w:r>
          </w:p>
        </w:tc>
        <w:tc>
          <w:tcPr/>
          <w:p>
            <w:pPr>
              <w:pStyle w:val="Compact"/>
              <w:jc w:val="left"/>
            </w:pPr>
            <w:r>
              <w:t xml:space="preserve">Limits</w:t>
            </w:r>
          </w:p>
        </w:tc>
        <w:tc>
          <w:tcPr/>
          <w:p>
            <w:pPr>
              <w:pStyle w:val="Compact"/>
              <w:jc w:val="left"/>
            </w:pPr>
            <w:r>
              <w:t xml:space="preserve">Targeted components</w:t>
            </w:r>
          </w:p>
        </w:tc>
      </w:tr>
      <w:tr>
        <w:tc>
          <w:tcPr/>
          <w:p>
            <w:pPr>
              <w:pStyle w:val="Compact"/>
              <w:jc w:val="left"/>
            </w:pPr>
            <w:r>
              <w:rPr>
                <w:bCs/>
                <w:b/>
              </w:rPr>
              <w:t xml:space="preserve">Static Byzantine</w:t>
            </w:r>
          </w:p>
        </w:tc>
        <w:tc>
          <w:tcPr/>
          <w:p>
            <w:pPr>
              <w:pStyle w:val="Compact"/>
              <w:jc w:val="left"/>
            </w:pPr>
            <w:r>
              <w:t xml:space="preserve">Corrupts up to (f) validators at system start. They may equivocate, withhold messages or collude to mislead honest nodes.</w:t>
            </w:r>
          </w:p>
        </w:tc>
        <w:tc>
          <w:tcPr/>
          <w:p>
            <w:pPr>
              <w:pStyle w:val="Compact"/>
              <w:jc w:val="left"/>
            </w:pPr>
            <w:r>
              <w:t xml:space="preserve">Consensus safety requires (f &lt;</w:t>
            </w:r>
            <w:r>
              <w:t xml:space="preserve"> </w:t>
            </w:r>
            <w:r>
              <w:t xml:space="preserve">). SXCP relayer sets tolerate up to (m &lt;</w:t>
            </w:r>
            <w:r>
              <w:t xml:space="preserve"> </w:t>
            </w:r>
            <w:r>
              <w:t xml:space="preserve">) faulty relayers per chain.</w:t>
            </w:r>
          </w:p>
        </w:tc>
        <w:tc>
          <w:tcPr/>
          <w:p>
            <w:pPr>
              <w:pStyle w:val="Compact"/>
              <w:jc w:val="left"/>
            </w:pPr>
            <w:r>
              <w:t xml:space="preserve">Consensus committees, relayer committees.</w:t>
            </w:r>
          </w:p>
        </w:tc>
      </w:tr>
      <w:tr>
        <w:tc>
          <w:tcPr/>
          <w:p>
            <w:pPr>
              <w:pStyle w:val="Compact"/>
              <w:jc w:val="left"/>
            </w:pPr>
            <w:r>
              <w:rPr>
                <w:bCs/>
                <w:b/>
              </w:rPr>
              <w:t xml:space="preserve">Adaptive Byzantine</w:t>
            </w:r>
          </w:p>
        </w:tc>
        <w:tc>
          <w:tcPr/>
          <w:p>
            <w:pPr>
              <w:pStyle w:val="Compact"/>
              <w:jc w:val="left"/>
            </w:pPr>
            <w:r>
              <w:t xml:space="preserve">Can corrupt validators over time based on observed state. Target selection may depend on previous messages.</w:t>
            </w:r>
          </w:p>
        </w:tc>
        <w:tc>
          <w:tcPr/>
          <w:p>
            <w:pPr>
              <w:pStyle w:val="Compact"/>
              <w:jc w:val="left"/>
            </w:pPr>
            <w:r>
              <w:t xml:space="preserve">Total corruptions limited to (f). Corruption incurs an unbonding delay; keys must remain active during jail period.</w:t>
            </w:r>
          </w:p>
        </w:tc>
        <w:tc>
          <w:tcPr/>
          <w:p>
            <w:pPr>
              <w:pStyle w:val="Compact"/>
              <w:jc w:val="left"/>
            </w:pPr>
            <w:r>
              <w:t xml:space="preserve">Consensus committees, relayer committees.</w:t>
            </w:r>
          </w:p>
        </w:tc>
      </w:tr>
      <w:tr>
        <w:tc>
          <w:tcPr/>
          <w:p>
            <w:pPr>
              <w:pStyle w:val="Compact"/>
              <w:jc w:val="left"/>
            </w:pPr>
            <w:r>
              <w:rPr>
                <w:bCs/>
                <w:b/>
              </w:rPr>
              <w:t xml:space="preserve">Network adversary</w:t>
            </w:r>
          </w:p>
        </w:tc>
        <w:tc>
          <w:tcPr/>
          <w:p>
            <w:pPr>
              <w:pStyle w:val="Compact"/>
              <w:jc w:val="left"/>
            </w:pPr>
            <w:r>
              <w:t xml:space="preserve">Controls message scheduling before GST, drops or reorders messages, launches DoS attacks.</w:t>
            </w:r>
          </w:p>
        </w:tc>
        <w:tc>
          <w:tcPr/>
          <w:p>
            <w:pPr>
              <w:pStyle w:val="Compact"/>
              <w:jc w:val="left"/>
            </w:pPr>
            <w:r>
              <w:t xml:space="preserve">Cannot forge Aegis signatures; cannot delay messages beyond Δ after GST.</w:t>
            </w:r>
          </w:p>
        </w:tc>
        <w:tc>
          <w:tcPr/>
          <w:p>
            <w:pPr>
              <w:pStyle w:val="Compact"/>
              <w:jc w:val="left"/>
            </w:pPr>
            <w:r>
              <w:t xml:space="preserve">All network links, including cross‑chain communications.</w:t>
            </w:r>
          </w:p>
        </w:tc>
      </w:tr>
      <w:tr>
        <w:tc>
          <w:tcPr/>
          <w:p>
            <w:pPr>
              <w:pStyle w:val="Compact"/>
              <w:jc w:val="left"/>
            </w:pPr>
            <w:r>
              <w:rPr>
                <w:bCs/>
                <w:b/>
              </w:rPr>
              <w:t xml:space="preserve">Cross‑chain attacker</w:t>
            </w:r>
          </w:p>
        </w:tc>
        <w:tc>
          <w:tcPr/>
          <w:p>
            <w:pPr>
              <w:pStyle w:val="Compact"/>
              <w:jc w:val="left"/>
            </w:pPr>
            <w:r>
              <w:t xml:space="preserve">Manipulates external chains to induce reorgs, submits fraudulent proofs via compromised relayers.</w:t>
            </w:r>
          </w:p>
        </w:tc>
        <w:tc>
          <w:tcPr/>
          <w:p>
            <w:pPr>
              <w:pStyle w:val="Compact"/>
              <w:jc w:val="left"/>
            </w:pPr>
            <w:r>
              <w:t xml:space="preserve">External chains’ finality latencies (τ_i) and reorg depths (ρ_i) bound the attack window. Multiple relayers must sign proofs; a single relayer cannot succeed alone.</w:t>
            </w:r>
          </w:p>
        </w:tc>
        <w:tc>
          <w:tcPr/>
          <w:p>
            <w:pPr>
              <w:pStyle w:val="Compact"/>
              <w:jc w:val="left"/>
            </w:pPr>
            <w:r>
              <w:t xml:space="preserve">SXCP message bus, external chain state proofs.</w:t>
            </w:r>
          </w:p>
        </w:tc>
      </w:tr>
    </w:tbl>
    <w:p>
      <w:pPr>
        <w:pStyle w:val="BodyText"/>
      </w:pPr>
      <w:r>
        <w:t xml:space="preserve">PoSy’s BFT layer maintains safety as long as the number of Byzantine consensus validators does not exceed (f). The SXCP layer tolerates up to (m) faulty relayers per external chain. Adaptive adversaries are countered through unbonding delays and rotating committee memberships (§6). Network‑level DoS is mitigated with exponential backoff timeouts and leader rotation (§10). Aegis signatures protect against forgery across both layers.</w:t>
      </w:r>
    </w:p>
    <w:bookmarkEnd w:id="28"/>
    <w:bookmarkStart w:id="33" w:name="cryptographic-primitives"/>
    <w:p>
      <w:pPr>
        <w:pStyle w:val="Heading2"/>
      </w:pPr>
      <w:r>
        <w:t xml:space="preserve">1.4 Cryptographic Primitives</w:t>
      </w:r>
    </w:p>
    <w:p>
      <w:pPr>
        <w:pStyle w:val="FirstParagraph"/>
      </w:pPr>
      <w:r>
        <w:t xml:space="preserve">PoSy exclusively employs</w:t>
      </w:r>
      <w:r>
        <w:t xml:space="preserve"> </w:t>
      </w:r>
      <w:r>
        <w:rPr>
          <w:bCs/>
          <w:b/>
        </w:rPr>
        <w:t xml:space="preserve">Aegis</w:t>
      </w:r>
      <w:r>
        <w:t xml:space="preserve"> </w:t>
      </w:r>
      <w:r>
        <w:t xml:space="preserve">post‑quantum cryptographic primitives. No external schemes (e.g., Kyber, Dilithium, SPHINCS+, Falcon, ECDSA/EdDSA) are permitted. This ensures forward secrecy and long‑term security under quantum adversaries while maintaining interoperability via SXCP.</w:t>
      </w:r>
    </w:p>
    <w:bookmarkStart w:id="29" w:name="aegis-digital-signatures"/>
    <w:p>
      <w:pPr>
        <w:pStyle w:val="Heading3"/>
      </w:pPr>
      <w:r>
        <w:t xml:space="preserve">Aegis Digital Signatures</w:t>
      </w:r>
    </w:p>
    <w:p>
      <w:pPr>
        <w:pStyle w:val="FirstParagraph"/>
      </w:pPr>
      <w:r>
        <w:t xml:space="preserve">Each validator generates an Aegis key pair ((sk, pk)) and registers the public key on‑chain. The scheme provides</w:t>
      </w:r>
      <w:r>
        <w:t xml:space="preserve"> </w:t>
      </w:r>
      <w:r>
        <w:rPr>
          <w:bCs/>
          <w:b/>
        </w:rPr>
        <w:t xml:space="preserve">existential unforgeability</w:t>
      </w:r>
      <w:r>
        <w:t xml:space="preserve"> </w:t>
      </w:r>
      <w:r>
        <w:t xml:space="preserve">under adaptive chosen message attacks. All consensus votes, proposals and SXCP messages are signed using Aegis. Signatures are aggregated into</w:t>
      </w:r>
      <w:r>
        <w:t xml:space="preserve"> </w:t>
      </w:r>
      <w:r>
        <w:rPr>
          <w:bCs/>
          <w:b/>
        </w:rPr>
        <w:t xml:space="preserve">quorum certificates (QC)</w:t>
      </w:r>
      <w:r>
        <w:t xml:space="preserve"> </w:t>
      </w:r>
      <w:r>
        <w:t xml:space="preserve">via Aegis multi‑signature aggregation. Aggregation yields constant‑size proofs containing the aggregated signature, a list of signers and their weights. QCs are verifiable by anyone without interacting with the signers.</w:t>
      </w:r>
    </w:p>
    <w:bookmarkEnd w:id="29"/>
    <w:bookmarkStart w:id="30" w:name="aegis-verifiable-random-functions-vrf"/>
    <w:p>
      <w:pPr>
        <w:pStyle w:val="Heading3"/>
      </w:pPr>
      <w:r>
        <w:t xml:space="preserve">Aegis Verifiable Random Functions (VRF)</w:t>
      </w:r>
    </w:p>
    <w:p>
      <w:pPr>
        <w:pStyle w:val="FirstParagraph"/>
      </w:pPr>
      <w:r>
        <w:t xml:space="preserve">Leader and committee selection rely on VRFs derived from Aegis signatures. Each validator computes a VRF output (r_i =</w:t>
      </w:r>
      <w:r>
        <w:t xml:space="preserve"> </w:t>
      </w:r>
      <w:r>
        <w:t xml:space="preserve">_{sk_i}(</w:t>
      </w:r>
      <w:r>
        <w:t xml:space="preserve">)) and produces a proof (</w:t>
      </w:r>
      <w:r>
        <w:t xml:space="preserve">_i). The VRF is unpredictable yet publicly verifiable; validators cannot bias the result or grind for favourable outputs. The seed includes the epoch randomness and round number. VRF proofs are aggregated into a collective randomness beacon via threshold signatures (§1.6, §6).</w:t>
      </w:r>
    </w:p>
    <w:bookmarkEnd w:id="30"/>
    <w:bookmarkStart w:id="31" w:name="aegis-threshold-signatures"/>
    <w:p>
      <w:pPr>
        <w:pStyle w:val="Heading3"/>
      </w:pPr>
      <w:r>
        <w:t xml:space="preserve">Aegis Threshold Signatures</w:t>
      </w:r>
    </w:p>
    <w:p>
      <w:pPr>
        <w:pStyle w:val="FirstParagraph"/>
      </w:pPr>
      <w:r>
        <w:t xml:space="preserve">SXCP relayers employ Aegis threshold signatures. A (t)-of-(k) scheme requires at least (t) relayers to collaborate to produce a valid signature. Threshold signatures are used to sign cross‑chain messages, to generate epoch randomness (see §1.6) and to produce deterministic sidechain finality proofs. Threshold signatures provide robust security even if up to ((t-1)) relayers are corrupted. No FROST/TSS or ECDSA/EdDSA schemes are used.</w:t>
      </w:r>
    </w:p>
    <w:bookmarkEnd w:id="31"/>
    <w:bookmarkStart w:id="32" w:name="key-management-and-uma-integration"/>
    <w:p>
      <w:pPr>
        <w:pStyle w:val="Heading3"/>
      </w:pPr>
      <w:r>
        <w:t xml:space="preserve">Key Management and UMA Integration</w:t>
      </w:r>
    </w:p>
    <w:p>
      <w:pPr>
        <w:pStyle w:val="FirstParagraph"/>
      </w:pPr>
      <w:r>
        <w:t xml:space="preserve">Validators manage their keys through the</w:t>
      </w:r>
      <w:r>
        <w:t xml:space="preserve"> </w:t>
      </w:r>
      <w:r>
        <w:rPr>
          <w:bCs/>
          <w:b/>
        </w:rPr>
        <w:t xml:space="preserve">Universal Meta‑Address (UMA)</w:t>
      </w:r>
      <w:r>
        <w:t xml:space="preserve"> </w:t>
      </w:r>
      <w:r>
        <w:t xml:space="preserve">standard (§25). UMA entries encode identity, role metadata and key pointers. Key rotation occurs at epoch boundaries to ensure forward secrecy. UMA ensures that validators maintain consistent identities across roles and across the consensus and SXCP planes. Cross‑chain operations embed Aegis signatures directly; there is no hybrid PQ/classical wrapper.</w:t>
      </w:r>
    </w:p>
    <w:bookmarkEnd w:id="32"/>
    <w:bookmarkEnd w:id="33"/>
    <w:bookmarkStart w:id="37" w:name="time-and-clock-assumptions"/>
    <w:p>
      <w:pPr>
        <w:pStyle w:val="Heading2"/>
      </w:pPr>
      <w:r>
        <w:t xml:space="preserve">1.5 Time and Clock Assumptions</w:t>
      </w:r>
    </w:p>
    <w:bookmarkStart w:id="34" w:name="logical-rounds-and-timeouts"/>
    <w:p>
      <w:pPr>
        <w:pStyle w:val="Heading3"/>
      </w:pPr>
      <w:r>
        <w:t xml:space="preserve">Logical Rounds and Timeouts</w:t>
      </w:r>
    </w:p>
    <w:p>
      <w:pPr>
        <w:pStyle w:val="FirstParagraph"/>
      </w:pPr>
      <w:r>
        <w:t xml:space="preserve">Consensus progresses through discrete</w:t>
      </w:r>
      <w:r>
        <w:t xml:space="preserve"> </w:t>
      </w:r>
      <w:r>
        <w:rPr>
          <w:bCs/>
          <w:b/>
        </w:rPr>
        <w:t xml:space="preserve">rounds</w:t>
      </w:r>
      <w:r>
        <w:t xml:space="preserve">. In each round, a leader and committee are selected (via VRF and diversity weighting). The leader proposes a block; committee members validate and vote in PREPARE, PRECOMMIT and COMMIT phases (§3.2). Each phase has a timeout (T_</w:t>
      </w:r>
      <w:r>
        <w:t xml:space="preserve">) derived from the base timeout (T_0) and multiplied by a backoff factor (</w:t>
      </w:r>
      <w:r>
        <w:t xml:space="preserve">) after each failed attempt (§2.7, §10). If a quorum is not reached before timeout, validators broadcast</w:t>
      </w:r>
      <w:r>
        <w:t xml:space="preserve"> </w:t>
      </w:r>
      <w:r>
        <w:rPr>
          <w:bCs/>
          <w:b/>
        </w:rPr>
        <w:t xml:space="preserve">TIMEOUT</w:t>
      </w:r>
      <w:r>
        <w:t xml:space="preserve"> </w:t>
      </w:r>
      <w:r>
        <w:t xml:space="preserve">messages containing the highest QC observed, trigger a view change and increase the timeout. Randomness for leader selection is unchanged within an epoch; therefore, repeated view changes within the same epoch still favour different leaders due to diversity penalties (§6).</w:t>
      </w:r>
    </w:p>
    <w:bookmarkEnd w:id="34"/>
    <w:bookmarkStart w:id="35" w:name="checkpoints-and-epoch-events"/>
    <w:p>
      <w:pPr>
        <w:pStyle w:val="Heading3"/>
      </w:pPr>
      <w:r>
        <w:t xml:space="preserve">Checkpoints and Epoch Events</w:t>
      </w:r>
    </w:p>
    <w:p>
      <w:pPr>
        <w:pStyle w:val="FirstParagraph"/>
      </w:pPr>
      <w:r>
        <w:t xml:space="preserve">At the end of each epoch, PoSy emits a</w:t>
      </w:r>
      <w:r>
        <w:t xml:space="preserve"> </w:t>
      </w:r>
      <w:r>
        <w:rPr>
          <w:bCs/>
          <w:b/>
        </w:rPr>
        <w:t xml:space="preserve">checkpoint block</w:t>
      </w:r>
      <w:r>
        <w:t xml:space="preserve"> </w:t>
      </w:r>
      <w:r>
        <w:t xml:space="preserve">containing aggregated SXCP proofs and epoch randomness beacons. These checkpoints serve as anchors for cross‑chain proofs and provide a consistent state for reward distribution, key rotation and governance changes. SXCP continues to operate asynchronously; proofs generated during an epoch are buffered until included in the next checkpoint. During view changes, SXCP continues to process external events without affecting consensus timeouts.</w:t>
      </w:r>
    </w:p>
    <w:bookmarkEnd w:id="35"/>
    <w:bookmarkStart w:id="36" w:name="clock-synchronisation"/>
    <w:p>
      <w:pPr>
        <w:pStyle w:val="Heading3"/>
      </w:pPr>
      <w:r>
        <w:t xml:space="preserve">Clock Synchronisation</w:t>
      </w:r>
    </w:p>
    <w:p>
      <w:pPr>
        <w:pStyle w:val="FirstParagraph"/>
      </w:pPr>
      <w:r>
        <w:t xml:space="preserve">Validators maintain local clocks that may drift by up to (</w:t>
      </w:r>
      <w:r>
        <w:t xml:space="preserve">) relative to one another. Timeouts are expressed in wall‑clock seconds, but PoSy does not require absolute synchrony; progress depends on message counts and proofs rather than exact timestamps. External latency parameters (τ_x) and finality times (τ_i) help tune timeouts (§12). No assumption is made about global clock synchrony prior to GST.</w:t>
      </w:r>
    </w:p>
    <w:bookmarkEnd w:id="36"/>
    <w:bookmarkEnd w:id="37"/>
    <w:bookmarkStart w:id="42" w:name="randomness-sources-beacons"/>
    <w:p>
      <w:pPr>
        <w:pStyle w:val="Heading2"/>
      </w:pPr>
      <w:r>
        <w:t xml:space="preserve">1.6 Randomness Sources &amp; Beacons</w:t>
      </w:r>
    </w:p>
    <w:p>
      <w:pPr>
        <w:pStyle w:val="FirstParagraph"/>
      </w:pPr>
      <w:r>
        <w:t xml:space="preserve">Randomness drives leader selection, committee sampling and epoch transitions. PoSy combines</w:t>
      </w:r>
      <w:r>
        <w:t xml:space="preserve"> </w:t>
      </w:r>
      <w:r>
        <w:rPr>
          <w:bCs/>
          <w:b/>
        </w:rPr>
        <w:t xml:space="preserve">cryptographic VRFs</w:t>
      </w:r>
      <w:r>
        <w:t xml:space="preserve"> </w:t>
      </w:r>
      <w:r>
        <w:t xml:space="preserve">with</w:t>
      </w:r>
      <w:r>
        <w:t xml:space="preserve"> </w:t>
      </w:r>
      <w:r>
        <w:rPr>
          <w:bCs/>
          <w:b/>
        </w:rPr>
        <w:t xml:space="preserve">threshold randomness beacons</w:t>
      </w:r>
      <w:r>
        <w:t xml:space="preserve"> </w:t>
      </w:r>
      <w:r>
        <w:t xml:space="preserve">to ensure unpredictability, unbiasability and public verifiability.</w:t>
      </w:r>
    </w:p>
    <w:bookmarkStart w:id="38" w:name="epoch-randomness-beacon"/>
    <w:p>
      <w:pPr>
        <w:pStyle w:val="Heading3"/>
      </w:pPr>
      <w:r>
        <w:t xml:space="preserve">Epoch Randomness Beacon</w:t>
      </w:r>
    </w:p>
    <w:p>
      <w:pPr>
        <w:pStyle w:val="FirstParagraph"/>
      </w:pPr>
      <w:r>
        <w:t xml:space="preserve">At the end of each epoch (e), SXCP relayers generate a randomness beacon (S_e) via an Aegis threshold signature over the previous checkpoint hash. Specifically:</w:t>
      </w:r>
    </w:p>
    <w:p>
      <w:pPr>
        <w:pStyle w:val="BodyText"/>
      </w:pPr>
      <w:r>
        <w:t xml:space="preserve">[</w:t>
      </w:r>
      <w:r>
        <w:t xml:space="preserve"> </w:t>
      </w:r>
      <w:r>
        <w:t xml:space="preserve">S_e =</w:t>
      </w:r>
      <w:r>
        <w:t xml:space="preserve"> </w:t>
      </w:r>
      <w:r>
        <w:t xml:space="preserve">(</w:t>
      </w:r>
      <w:r>
        <w:rPr>
          <w:iCs/>
          <w:i/>
        </w:rPr>
        <w:t xml:space="preserve">{</w:t>
      </w:r>
      <w:r>
        <w:rPr>
          <w:iCs/>
          <w:i/>
        </w:rPr>
        <w:t xml:space="preserve">}(</w:t>
      </w:r>
      <w:r>
        <w:t xml:space="preserve">{e-1})),</w:t>
      </w:r>
      <w:r>
        <w:t xml:space="preserve"> </w:t>
      </w:r>
      <w:r>
        <w:t xml:space="preserve">]</w:t>
      </w:r>
    </w:p>
    <w:p>
      <w:pPr>
        <w:pStyle w:val="BodyText"/>
      </w:pPr>
      <w:r>
        <w:t xml:space="preserve">where (</w:t>
      </w:r>
      <w:r>
        <w:rPr>
          <w:iCs/>
          <w:i/>
        </w:rPr>
        <w:t xml:space="preserve">{</w:t>
      </w:r>
      <w:r>
        <w:rPr>
          <w:iCs/>
          <w:i/>
        </w:rPr>
        <w:t xml:space="preserve">}) is a (t)-of-(k) Aegis threshold signature produced by the relayer committee and (</w:t>
      </w:r>
      <w:r>
        <w:t xml:space="preserve">{e-1}) is the hash of the last checkpoint. Because at least (t) relayers must collaborate, no individual relayer can bias the beacon. The resulting value (S_e) seeds the VRFs for all rounds in epoch (e+1).</w:t>
      </w:r>
    </w:p>
    <w:bookmarkEnd w:id="38"/>
    <w:bookmarkStart w:id="39" w:name="perround-vrf-seeds"/>
    <w:p>
      <w:pPr>
        <w:pStyle w:val="Heading3"/>
      </w:pPr>
      <w:r>
        <w:t xml:space="preserve">Per‑Round VRF Seeds</w:t>
      </w:r>
    </w:p>
    <w:p>
      <w:pPr>
        <w:pStyle w:val="FirstParagraph"/>
      </w:pPr>
      <w:r>
        <w:t xml:space="preserve">For round (r) within epoch (e), the seed for VRF evaluation is computed as:</w:t>
      </w:r>
    </w:p>
    <w:p>
      <w:pPr>
        <w:pStyle w:val="BodyText"/>
      </w:pPr>
      <w:r>
        <w:t xml:space="preserve">[</w:t>
      </w:r>
      <w:r>
        <w:t xml:space="preserve"> </w:t>
      </w:r>
      <w:r>
        <w:t xml:space="preserve">_{e,r} =</w:t>
      </w:r>
      <w:r>
        <w:t xml:space="preserve"> </w:t>
      </w:r>
      <w:r>
        <w:t xml:space="preserve">(S_e</w:t>
      </w:r>
      <w:r>
        <w:t xml:space="preserve"> </w:t>
      </w:r>
      <w:r>
        <w:t xml:space="preserve">r</w:t>
      </w:r>
      <w:r>
        <w:t xml:space="preserve"> </w:t>
      </w:r>
      <w:r>
        <w:t xml:space="preserve">).</w:t>
      </w:r>
      <w:r>
        <w:t xml:space="preserve"> </w:t>
      </w:r>
      <w:r>
        <w:t xml:space="preserve">]</w:t>
      </w:r>
    </w:p>
    <w:p>
      <w:pPr>
        <w:pStyle w:val="BodyText"/>
      </w:pPr>
      <w:r>
        <w:t xml:space="preserve">Each validator evaluates their VRF on this seed to obtain an output (r_i) and proof (</w:t>
      </w:r>
      <w:r>
        <w:t xml:space="preserve">_i). The outputs are used to derive leader and committee assignments (§6). Including the string</w:t>
      </w:r>
      <w:r>
        <w:t xml:space="preserve"> </w:t>
      </w:r>
      <w:r>
        <w:t xml:space="preserve">“</w:t>
      </w:r>
      <w:r>
        <w:t xml:space="preserve">PoSy</w:t>
      </w:r>
      <w:r>
        <w:t xml:space="preserve">”</w:t>
      </w:r>
      <w:r>
        <w:t xml:space="preserve"> </w:t>
      </w:r>
      <w:r>
        <w:t xml:space="preserve">domain‑separates consensus randomness from other protocols. SXCP uses a separate domain string (e.g.,</w:t>
      </w:r>
      <w:r>
        <w:t xml:space="preserve"> </w:t>
      </w:r>
      <w:r>
        <w:t xml:space="preserve">“</w:t>
      </w:r>
      <w:r>
        <w:t xml:space="preserve">SXCP</w:t>
      </w:r>
      <w:r>
        <w:t xml:space="preserve">”</w:t>
      </w:r>
      <w:r>
        <w:t xml:space="preserve">) for its signer committee selection to avoid cross‑protocol correlation.</w:t>
      </w:r>
    </w:p>
    <w:bookmarkEnd w:id="39"/>
    <w:bookmarkStart w:id="40" w:name="verifiability-and-bias-resistance"/>
    <w:p>
      <w:pPr>
        <w:pStyle w:val="Heading3"/>
      </w:pPr>
      <w:r>
        <w:t xml:space="preserve">Verifiability and Bias Resistance</w:t>
      </w:r>
    </w:p>
    <w:p>
      <w:pPr>
        <w:pStyle w:val="FirstParagraph"/>
      </w:pPr>
      <w:r>
        <w:t xml:space="preserve">The randomness pipeline provides the following guarantees:</w:t>
      </w:r>
    </w:p>
    <w:p>
      <w:pPr>
        <w:numPr>
          <w:ilvl w:val="0"/>
          <w:numId w:val="1005"/>
        </w:numPr>
        <w:pStyle w:val="Compact"/>
      </w:pPr>
      <w:r>
        <w:rPr>
          <w:bCs/>
          <w:b/>
        </w:rPr>
        <w:t xml:space="preserve">Unpredictability:</w:t>
      </w:r>
      <w:r>
        <w:t xml:space="preserve"> </w:t>
      </w:r>
      <w:r>
        <w:t xml:space="preserve">Before the beacon is generated, no validator can predict the value of (S_e) or the VRF outputs derived from it. Even adaptive adversaries cannot bias the beacon because it requires cooperation of at least (t) relayers.</w:t>
      </w:r>
    </w:p>
    <w:p>
      <w:pPr>
        <w:numPr>
          <w:ilvl w:val="0"/>
          <w:numId w:val="1005"/>
        </w:numPr>
        <w:pStyle w:val="Compact"/>
      </w:pPr>
      <w:r>
        <w:rPr>
          <w:bCs/>
          <w:b/>
        </w:rPr>
        <w:t xml:space="preserve">Unbiasability:</w:t>
      </w:r>
      <w:r>
        <w:t xml:space="preserve"> </w:t>
      </w:r>
      <w:r>
        <w:t xml:space="preserve">Relayers cannot selectively withhold their signature shares to influence the beacon because Aegis threshold signatures are</w:t>
      </w:r>
      <w:r>
        <w:t xml:space="preserve"> </w:t>
      </w:r>
      <w:r>
        <w:rPr>
          <w:bCs/>
          <w:b/>
        </w:rPr>
        <w:t xml:space="preserve">non‑interactive</w:t>
      </w:r>
      <w:r>
        <w:t xml:space="preserve">: any subset of (t) signers can compute the signature independently of the others. Misbehaving relayers are slashed and replaced.</w:t>
      </w:r>
    </w:p>
    <w:p>
      <w:pPr>
        <w:numPr>
          <w:ilvl w:val="0"/>
          <w:numId w:val="1005"/>
        </w:numPr>
        <w:pStyle w:val="Compact"/>
      </w:pPr>
      <w:r>
        <w:rPr>
          <w:bCs/>
          <w:b/>
        </w:rPr>
        <w:t xml:space="preserve">Public verifiability:</w:t>
      </w:r>
      <w:r>
        <w:t xml:space="preserve"> </w:t>
      </w:r>
      <w:r>
        <w:t xml:space="preserve">The beacon is published in the checkpoint along with the aggregated Aegis signature. Anyone can verify its validity using the relayer public keys recorded on‑chain. VRF proofs (</w:t>
      </w:r>
      <w:r>
        <w:t xml:space="preserve">_i) are included in consensus messages and can be checked by other validators to ensure correct sampling.</w:t>
      </w:r>
    </w:p>
    <w:bookmarkEnd w:id="40"/>
    <w:bookmarkStart w:id="41" w:name="fallback-mechanisms"/>
    <w:p>
      <w:pPr>
        <w:pStyle w:val="Heading3"/>
      </w:pPr>
      <w:r>
        <w:t xml:space="preserve">Fallback Mechanisms</w:t>
      </w:r>
    </w:p>
    <w:p>
      <w:pPr>
        <w:pStyle w:val="FirstParagraph"/>
      </w:pPr>
      <w:r>
        <w:t xml:space="preserve">If the relayer committee fails to produce a threshold signature (e.g., due to downtime or adversarial DoS), PoSy falls back to a</w:t>
      </w:r>
      <w:r>
        <w:t xml:space="preserve"> </w:t>
      </w:r>
      <w:r>
        <w:rPr>
          <w:bCs/>
          <w:b/>
        </w:rPr>
        <w:t xml:space="preserve">commit‑reveal</w:t>
      </w:r>
      <w:r>
        <w:t xml:space="preserve"> </w:t>
      </w:r>
      <w:r>
        <w:t xml:space="preserve">scheme. Validators commit to random values in round (L-2) of the epoch and reveal them in round (L-1). The XOR of all revealed values becomes (S_e). Validators failing to reveal on time are slashed. This fallback ensures liveness of randomness generation but is expected to be rarely used. Regardless of the mechanism, the resulting (S_e) is considered unpredictable and unbiasable.</w:t>
      </w:r>
    </w:p>
    <w:bookmarkEnd w:id="41"/>
    <w:bookmarkEnd w:id="42"/>
    <w:bookmarkStart w:id="46" w:name="dualquorum-architecture"/>
    <w:p>
      <w:pPr>
        <w:pStyle w:val="Heading2"/>
      </w:pPr>
      <w:r>
        <w:t xml:space="preserve">1.7 Dual‑Quorum Architecture</w:t>
      </w:r>
    </w:p>
    <w:p>
      <w:pPr>
        <w:pStyle w:val="FirstParagraph"/>
      </w:pPr>
      <w:r>
        <w:t xml:space="preserve">Synergy separates consensus and cross‑chain operations into distinct quorums to improve security, modularity and scalability.</w:t>
      </w:r>
    </w:p>
    <w:bookmarkStart w:id="43" w:name="consensus-validator-quorum"/>
    <w:p>
      <w:pPr>
        <w:pStyle w:val="Heading3"/>
      </w:pPr>
      <w:r>
        <w:t xml:space="preserve">Consensus Validator Quorum</w:t>
      </w:r>
    </w:p>
    <w:p>
      <w:pPr>
        <w:pStyle w:val="FirstParagraph"/>
      </w:pPr>
      <w:r>
        <w:t xml:space="preserve">The</w:t>
      </w:r>
      <w:r>
        <w:t xml:space="preserve"> </w:t>
      </w:r>
      <w:r>
        <w:rPr>
          <w:bCs/>
          <w:b/>
        </w:rPr>
        <w:t xml:space="preserve">consensus quorum</w:t>
      </w:r>
      <w:r>
        <w:t xml:space="preserve"> </w:t>
      </w:r>
      <w:r>
        <w:t xml:space="preserve">comprises all active</w:t>
      </w:r>
      <w:r>
        <w:t xml:space="preserve"> </w:t>
      </w:r>
      <w:r>
        <w:rPr>
          <w:bCs/>
          <w:b/>
        </w:rPr>
        <w:t xml:space="preserve">consensus validators</w:t>
      </w:r>
      <w:r>
        <w:t xml:space="preserve">. Each validator (i) carries a weight (W_i) derived from their stake, reputation and contribution scores (§8). For a block to progress from PREPARE to PRECOMMIT and then to COMMIT, it must gather a</w:t>
      </w:r>
      <w:r>
        <w:t xml:space="preserve"> </w:t>
      </w:r>
      <w:r>
        <w:rPr>
          <w:bCs/>
          <w:b/>
        </w:rPr>
        <w:t xml:space="preserve">weighted quorum</w:t>
      </w:r>
      <w:r>
        <w:t xml:space="preserve"> </w:t>
      </w:r>
      <w:r>
        <w:t xml:space="preserve">of signatures whose cumulative weight exceeds (2/3) of the total weight. The QC thus attests to the validity of the proposed block and serves as proof of safety. Consensus quorums are re‑sampled each round; leader and committee selection depend on VRF outputs and diversity penalties (§6). Consensus validators are slashed for equivocation, censorship or invalid proposals (§9).</w:t>
      </w:r>
    </w:p>
    <w:bookmarkEnd w:id="43"/>
    <w:bookmarkStart w:id="44" w:name="sxcp-signer-quorum"/>
    <w:p>
      <w:pPr>
        <w:pStyle w:val="Heading3"/>
      </w:pPr>
      <w:r>
        <w:t xml:space="preserve">SXCP Signer Quorum</w:t>
      </w:r>
    </w:p>
    <w:p>
      <w:pPr>
        <w:pStyle w:val="FirstParagraph"/>
      </w:pPr>
      <w:r>
        <w:t xml:space="preserve">The</w:t>
      </w:r>
      <w:r>
        <w:t xml:space="preserve"> </w:t>
      </w:r>
      <w:r>
        <w:rPr>
          <w:bCs/>
          <w:b/>
        </w:rPr>
        <w:t xml:space="preserve">signer quorum</w:t>
      </w:r>
      <w:r>
        <w:t xml:space="preserve"> </w:t>
      </w:r>
      <w:r>
        <w:t xml:space="preserve">comprises the</w:t>
      </w:r>
      <w:r>
        <w:t xml:space="preserve"> </w:t>
      </w:r>
      <w:r>
        <w:rPr>
          <w:bCs/>
          <w:b/>
        </w:rPr>
        <w:t xml:space="preserve">SXCP relayer validators</w:t>
      </w:r>
      <w:r>
        <w:t xml:space="preserve"> </w:t>
      </w:r>
      <w:r>
        <w:t xml:space="preserve">responsible for cross‑chain operations. For each external chain (C_i), a relayer committee of size (k) is sampled at the start of each epoch. They hold separate Aegis keys (or key shares) and are bonded specifically for cross‑chain duties. A</w:t>
      </w:r>
      <w:r>
        <w:t xml:space="preserve"> </w:t>
      </w:r>
      <w:r>
        <w:rPr>
          <w:bCs/>
          <w:b/>
        </w:rPr>
        <w:t xml:space="preserve">threshold</w:t>
      </w:r>
      <w:r>
        <w:t xml:space="preserve"> </w:t>
      </w:r>
      <w:r>
        <w:t xml:space="preserve">(t) (typically (t =</w:t>
      </w:r>
      <w:r>
        <w:t xml:space="preserve"> </w:t>
      </w:r>
      <w:r>
        <w:t xml:space="preserve">2k/3</w:t>
      </w:r>
      <w:r>
        <w:t xml:space="preserve"> </w:t>
      </w:r>
      <w:r>
        <w:t xml:space="preserve">+ 1)) defines how many relayers must co‑sign an SXCP message for it to be valid. Signer quorums produce:</w:t>
      </w:r>
    </w:p>
    <w:p>
      <w:pPr>
        <w:numPr>
          <w:ilvl w:val="0"/>
          <w:numId w:val="1006"/>
        </w:numPr>
        <w:pStyle w:val="Compact"/>
      </w:pPr>
      <w:r>
        <w:rPr>
          <w:bCs/>
          <w:b/>
        </w:rPr>
        <w:t xml:space="preserve">Cross‑chain proofs:</w:t>
      </w:r>
      <w:r>
        <w:t xml:space="preserve"> </w:t>
      </w:r>
      <w:r>
        <w:t xml:space="preserve">Multi‑signatures attesting to events on external chains (deposits, withdrawals, state updates). Each proof includes the set of relayers, their weights (usually equal) and the aggregated Aegis signature.</w:t>
      </w:r>
    </w:p>
    <w:p>
      <w:pPr>
        <w:numPr>
          <w:ilvl w:val="0"/>
          <w:numId w:val="1006"/>
        </w:numPr>
        <w:pStyle w:val="Compact"/>
      </w:pPr>
      <w:r>
        <w:rPr>
          <w:bCs/>
          <w:b/>
        </w:rPr>
        <w:t xml:space="preserve">Epoch randomness beacons:</w:t>
      </w:r>
      <w:r>
        <w:t xml:space="preserve"> </w:t>
      </w:r>
      <w:r>
        <w:t xml:space="preserve">Threshold signatures over checkpoint hashes to generate (S_e) (§1.6).</w:t>
      </w:r>
    </w:p>
    <w:p>
      <w:pPr>
        <w:numPr>
          <w:ilvl w:val="0"/>
          <w:numId w:val="1006"/>
        </w:numPr>
        <w:pStyle w:val="Compact"/>
      </w:pPr>
      <w:r>
        <w:rPr>
          <w:bCs/>
          <w:b/>
        </w:rPr>
        <w:t xml:space="preserve">Misbehaviour attestations:</w:t>
      </w:r>
      <w:r>
        <w:t xml:space="preserve"> </w:t>
      </w:r>
      <w:r>
        <w:t xml:space="preserve">Evidence of faulty relayers is submitted to consensus, which triggers slashing and replacement (§9).</w:t>
      </w:r>
    </w:p>
    <w:p>
      <w:pPr>
        <w:pStyle w:val="FirstParagraph"/>
      </w:pPr>
      <w:r>
        <w:t xml:space="preserve">Signer committees operate</w:t>
      </w:r>
      <w:r>
        <w:t xml:space="preserve"> </w:t>
      </w:r>
      <w:r>
        <w:rPr>
          <w:bCs/>
          <w:b/>
        </w:rPr>
        <w:t xml:space="preserve">asynchronously</w:t>
      </w:r>
      <w:r>
        <w:t xml:space="preserve">, meaning they do not rely on consensus rounds for progress. They may experience delays due to external chain finality or network conditions. Their operations are decoupled from consensus timeouts; a slow or faulty signer quorum does not trigger consensus view changes. However, failure to produce required signatures (within governance‑defined windows) leads to slashing and committee rotation.</w:t>
      </w:r>
    </w:p>
    <w:bookmarkEnd w:id="44"/>
    <w:bookmarkStart w:id="45" w:name="separation-of-duties"/>
    <w:p>
      <w:pPr>
        <w:pStyle w:val="Heading3"/>
      </w:pPr>
      <w:r>
        <w:t xml:space="preserve">Separation of Duties</w:t>
      </w:r>
    </w:p>
    <w:p>
      <w:pPr>
        <w:pStyle w:val="FirstParagraph"/>
      </w:pPr>
      <w:r>
        <w:t xml:space="preserve">The dual‑quorum architecture enforces</w:t>
      </w:r>
      <w:r>
        <w:t xml:space="preserve"> </w:t>
      </w:r>
      <w:r>
        <w:rPr>
          <w:bCs/>
          <w:b/>
        </w:rPr>
        <w:t xml:space="preserve">separation of duties</w:t>
      </w:r>
      <w:r>
        <w:t xml:space="preserve">:</w:t>
      </w:r>
    </w:p>
    <w:p>
      <w:pPr>
        <w:numPr>
          <w:ilvl w:val="0"/>
          <w:numId w:val="1007"/>
        </w:numPr>
        <w:pStyle w:val="Compact"/>
      </w:pPr>
      <w:r>
        <w:rPr>
          <w:bCs/>
          <w:b/>
        </w:rPr>
        <w:t xml:space="preserve">Consensus validators</w:t>
      </w:r>
      <w:r>
        <w:t xml:space="preserve"> </w:t>
      </w:r>
      <w:r>
        <w:t xml:space="preserve">secure the PoSy chain, govern protocol parameters and maintain liveness under partial synchrony.</w:t>
      </w:r>
    </w:p>
    <w:p>
      <w:pPr>
        <w:numPr>
          <w:ilvl w:val="0"/>
          <w:numId w:val="1007"/>
        </w:numPr>
        <w:pStyle w:val="Compact"/>
      </w:pPr>
      <w:r>
        <w:rPr>
          <w:bCs/>
          <w:b/>
        </w:rPr>
        <w:t xml:space="preserve">SXCP relayers</w:t>
      </w:r>
      <w:r>
        <w:t xml:space="preserve"> </w:t>
      </w:r>
      <w:r>
        <w:t xml:space="preserve">secure the interop layer, relay external events and contribute to epoch randomness generation.</w:t>
      </w:r>
    </w:p>
    <w:p>
      <w:pPr>
        <w:numPr>
          <w:ilvl w:val="0"/>
          <w:numId w:val="1007"/>
        </w:numPr>
        <w:pStyle w:val="Compact"/>
      </w:pPr>
      <w:r>
        <w:rPr>
          <w:bCs/>
          <w:b/>
        </w:rPr>
        <w:t xml:space="preserve">Witness/oracle nodes</w:t>
      </w:r>
      <w:r>
        <w:t xml:space="preserve"> </w:t>
      </w:r>
      <w:r>
        <w:t xml:space="preserve">provide attestations used by SXCP but do not carry voting power in consensus or signer quorums.</w:t>
      </w:r>
    </w:p>
    <w:p>
      <w:pPr>
        <w:pStyle w:val="FirstParagraph"/>
      </w:pPr>
      <w:r>
        <w:t xml:space="preserve">This separation reduces attack surfaces and prevents one compromised function from undermining the other. For example, an attacker controlling a majority of relayers cannot roll back the PoSy chain, and an attacker controlling consensus validators cannot forge cross‑chain proofs. Coordination between quorums occurs through checkpoints and slashing mechanisms: consensus incorporates signer outputs and penalises misbehaviour; signers contribute randomness used by consensus. The interplay of these quorums is elaborated in §3 (Protocol Architecture) and §6 (Leader &amp; Committee Selection).</w:t>
      </w:r>
    </w:p>
    <w:bookmarkEnd w:id="45"/>
    <w:bookmarkEnd w:id="46"/>
    <w:bookmarkStart w:id="47" w:name="symbol-table"/>
    <w:p>
      <w:pPr>
        <w:pStyle w:val="Heading2"/>
      </w:pPr>
      <w:r>
        <w:t xml:space="preserve">Symbol Table</w:t>
      </w:r>
    </w:p>
    <w:tbl>
      <w:tblPr>
        <w:tblStyle w:val="Table"/>
        <w:tblW w:type="pct" w:w="5000"/>
        <w:tblLook w:firstRow="1" w:lastRow="0" w:firstColumn="0" w:lastColumn="0" w:noHBand="0" w:noVBand="0" w:val="0020"/>
      </w:tblPr>
      <w:tblGrid>
        <w:gridCol w:w="3080"/>
        <w:gridCol w:w="484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t xml:space="preserve">(n)</w:t>
            </w:r>
          </w:p>
        </w:tc>
        <w:tc>
          <w:tcPr/>
          <w:p>
            <w:pPr>
              <w:pStyle w:val="Compact"/>
              <w:jc w:val="left"/>
            </w:pPr>
            <w:r>
              <w:t xml:space="preserve">Total number of consensus validators.</w:t>
            </w:r>
          </w:p>
        </w:tc>
      </w:tr>
      <w:tr>
        <w:tc>
          <w:tcPr/>
          <w:p>
            <w:pPr>
              <w:pStyle w:val="Compact"/>
              <w:jc w:val="left"/>
            </w:pPr>
            <w:r>
              <w:t xml:space="preserve">(f)</w:t>
            </w:r>
          </w:p>
        </w:tc>
        <w:tc>
          <w:tcPr/>
          <w:p>
            <w:pPr>
              <w:pStyle w:val="Compact"/>
              <w:jc w:val="left"/>
            </w:pPr>
            <w:r>
              <w:t xml:space="preserve">Maximum number of Byzantine consensus validators tolerated; must satisfy (f &lt;</w:t>
            </w:r>
            <w:r>
              <w:t xml:space="preserve"> </w:t>
            </w:r>
            <w:r>
              <w:t xml:space="preserve">n/3</w:t>
            </w:r>
            <w:r>
              <w:t xml:space="preserve"> </w:t>
            </w:r>
            <w:r>
              <w:t xml:space="preserve">).</w:t>
            </w:r>
          </w:p>
        </w:tc>
      </w:tr>
      <w:tr>
        <w:tc>
          <w:tcPr/>
          <w:p>
            <w:pPr>
              <w:pStyle w:val="Compact"/>
              <w:jc w:val="left"/>
            </w:pPr>
            <w:r>
              <w:t xml:space="preserve">(k)</w:t>
            </w:r>
          </w:p>
        </w:tc>
        <w:tc>
          <w:tcPr/>
          <w:p>
            <w:pPr>
              <w:pStyle w:val="Compact"/>
              <w:jc w:val="left"/>
            </w:pPr>
            <w:r>
              <w:t xml:space="preserve">Number of SXCP relayer validators for a given external chain.</w:t>
            </w:r>
          </w:p>
        </w:tc>
      </w:tr>
      <w:tr>
        <w:tc>
          <w:tcPr/>
          <w:p>
            <w:pPr>
              <w:pStyle w:val="Compact"/>
              <w:jc w:val="left"/>
            </w:pPr>
            <w:r>
              <w:t xml:space="preserve">(m)</w:t>
            </w:r>
          </w:p>
        </w:tc>
        <w:tc>
          <w:tcPr/>
          <w:p>
            <w:pPr>
              <w:pStyle w:val="Compact"/>
              <w:jc w:val="left"/>
            </w:pPr>
            <w:r>
              <w:t xml:space="preserve">Maximum number of faulty relayers tolerated per chain; must satisfy (m &lt;</w:t>
            </w:r>
            <w:r>
              <w:t xml:space="preserve"> </w:t>
            </w:r>
            <w:r>
              <w:t xml:space="preserve">k/3</w:t>
            </w:r>
            <w:r>
              <w:t xml:space="preserve"> </w:t>
            </w:r>
            <w:r>
              <w:t xml:space="preserve">).</w:t>
            </w:r>
          </w:p>
        </w:tc>
      </w:tr>
      <w:tr>
        <w:tc>
          <w:tcPr/>
          <w:p>
            <w:pPr>
              <w:pStyle w:val="Compact"/>
              <w:jc w:val="left"/>
            </w:pPr>
            <w:r>
              <w:t xml:space="preserve">(</w:t>
            </w:r>
            <w:r>
              <w:t xml:space="preserve">)</w:t>
            </w:r>
          </w:p>
        </w:tc>
        <w:tc>
          <w:tcPr/>
          <w:p>
            <w:pPr>
              <w:pStyle w:val="Compact"/>
              <w:jc w:val="left"/>
            </w:pPr>
            <w:r>
              <w:t xml:space="preserve">Set of active consensus validators.</w:t>
            </w:r>
          </w:p>
        </w:tc>
      </w:tr>
      <w:tr>
        <w:tc>
          <w:tcPr/>
          <w:p>
            <w:pPr>
              <w:pStyle w:val="Compact"/>
              <w:jc w:val="left"/>
            </w:pPr>
            <w:r>
              <w:rPr>
                <w:bCs/>
                <w:b/>
              </w:rPr>
              <w:t xml:space="preserve">GST</w:t>
            </w:r>
          </w:p>
        </w:tc>
        <w:tc>
          <w:tcPr/>
          <w:p>
            <w:pPr>
              <w:pStyle w:val="Compact"/>
              <w:jc w:val="left"/>
            </w:pPr>
            <w:r>
              <w:t xml:space="preserve">Global stabilisation time after which message delays are bounded.</w:t>
            </w:r>
          </w:p>
        </w:tc>
      </w:tr>
      <w:tr>
        <w:tc>
          <w:tcPr/>
          <w:p>
            <w:pPr>
              <w:pStyle w:val="Compact"/>
              <w:jc w:val="left"/>
            </w:pPr>
            <w:r>
              <w:rPr>
                <w:bCs/>
                <w:b/>
              </w:rPr>
              <w:t xml:space="preserve">Δ</w:t>
            </w:r>
          </w:p>
        </w:tc>
        <w:tc>
          <w:tcPr/>
          <w:p>
            <w:pPr>
              <w:pStyle w:val="Compact"/>
              <w:jc w:val="left"/>
            </w:pPr>
            <w:r>
              <w:t xml:space="preserve">Upper bound on message delay between honest nodes after GST.</w:t>
            </w:r>
          </w:p>
        </w:tc>
      </w:tr>
      <w:tr>
        <w:tc>
          <w:tcPr/>
          <w:p>
            <w:pPr>
              <w:pStyle w:val="Compact"/>
              <w:jc w:val="left"/>
            </w:pPr>
            <w:r>
              <w:rPr>
                <w:bCs/>
                <w:b/>
              </w:rPr>
              <w:t xml:space="preserve">δ</w:t>
            </w:r>
          </w:p>
        </w:tc>
        <w:tc>
          <w:tcPr/>
          <w:p>
            <w:pPr>
              <w:pStyle w:val="Compact"/>
              <w:jc w:val="left"/>
            </w:pPr>
            <w:r>
              <w:t xml:space="preserve">Maximum clock skew between honest nodes after GST.</w:t>
            </w:r>
          </w:p>
        </w:tc>
      </w:tr>
      <w:tr>
        <w:tc>
          <w:tcPr/>
          <w:p>
            <w:pPr>
              <w:pStyle w:val="Compact"/>
              <w:jc w:val="left"/>
            </w:pPr>
            <w:r>
              <w:t xml:space="preserve">(ρ_i)</w:t>
            </w:r>
          </w:p>
        </w:tc>
        <w:tc>
          <w:tcPr/>
          <w:p>
            <w:pPr>
              <w:pStyle w:val="Compact"/>
              <w:jc w:val="left"/>
            </w:pPr>
            <w:r>
              <w:t xml:space="preserve">Maximum reorg depth tolerated for external chain (C_i).</w:t>
            </w:r>
          </w:p>
        </w:tc>
      </w:tr>
      <w:tr>
        <w:tc>
          <w:tcPr/>
          <w:p>
            <w:pPr>
              <w:pStyle w:val="Compact"/>
              <w:jc w:val="left"/>
            </w:pPr>
            <w:r>
              <w:t xml:space="preserve">(τ_{,i})</w:t>
            </w:r>
          </w:p>
        </w:tc>
        <w:tc>
          <w:tcPr/>
          <w:p>
            <w:pPr>
              <w:pStyle w:val="Compact"/>
              <w:jc w:val="left"/>
            </w:pPr>
            <w:r>
              <w:t xml:space="preserve">Average block time of external chain (C_i).</w:t>
            </w:r>
          </w:p>
        </w:tc>
      </w:tr>
      <w:tr>
        <w:tc>
          <w:tcPr/>
          <w:p>
            <w:pPr>
              <w:pStyle w:val="Compact"/>
              <w:jc w:val="left"/>
            </w:pPr>
            <w:r>
              <w:t xml:space="preserve">(τ_i)</w:t>
            </w:r>
          </w:p>
        </w:tc>
        <w:tc>
          <w:tcPr/>
          <w:p>
            <w:pPr>
              <w:pStyle w:val="Compact"/>
              <w:jc w:val="left"/>
            </w:pPr>
            <w:r>
              <w:t xml:space="preserve">Finality latency of external chain (C_i).</w:t>
            </w:r>
          </w:p>
        </w:tc>
      </w:tr>
      <w:tr>
        <w:tc>
          <w:tcPr/>
          <w:p>
            <w:pPr>
              <w:pStyle w:val="Compact"/>
              <w:jc w:val="left"/>
            </w:pPr>
            <w:r>
              <w:t xml:space="preserve">(τ_x)</w:t>
            </w:r>
          </w:p>
        </w:tc>
        <w:tc>
          <w:tcPr/>
          <w:p>
            <w:pPr>
              <w:pStyle w:val="Compact"/>
              <w:jc w:val="left"/>
            </w:pPr>
            <w:r>
              <w:t xml:space="preserve">Network latency between Synergy relayers and external chain (C_i).</w:t>
            </w:r>
          </w:p>
        </w:tc>
      </w:tr>
      <w:tr>
        <w:tc>
          <w:tcPr/>
          <w:p>
            <w:pPr>
              <w:pStyle w:val="Compact"/>
              <w:jc w:val="left"/>
            </w:pPr>
            <w:r>
              <w:t xml:space="preserve">(L)</w:t>
            </w:r>
          </w:p>
        </w:tc>
        <w:tc>
          <w:tcPr/>
          <w:p>
            <w:pPr>
              <w:pStyle w:val="Compact"/>
              <w:jc w:val="left"/>
            </w:pPr>
            <w:r>
              <w:t xml:space="preserve">Epoch length in blocks.</w:t>
            </w:r>
          </w:p>
        </w:tc>
      </w:tr>
      <w:tr>
        <w:tc>
          <w:tcPr/>
          <w:p>
            <w:pPr>
              <w:pStyle w:val="Compact"/>
              <w:jc w:val="left"/>
            </w:pPr>
            <w:r>
              <w:t xml:space="preserve">(W_i)</w:t>
            </w:r>
          </w:p>
        </w:tc>
        <w:tc>
          <w:tcPr/>
          <w:p>
            <w:pPr>
              <w:pStyle w:val="Compact"/>
              <w:jc w:val="left"/>
            </w:pPr>
            <w:r>
              <w:t xml:space="preserve">Weight of consensus validator (i), derived from stake, reputation and contribution scores.</w:t>
            </w:r>
          </w:p>
        </w:tc>
      </w:tr>
      <w:tr>
        <w:tc>
          <w:tcPr/>
          <w:p>
            <w:pPr>
              <w:pStyle w:val="Compact"/>
              <w:jc w:val="left"/>
            </w:pPr>
            <w:r>
              <w:t xml:space="preserve">(r_i)</w:t>
            </w:r>
          </w:p>
        </w:tc>
        <w:tc>
          <w:tcPr/>
          <w:p>
            <w:pPr>
              <w:pStyle w:val="Compact"/>
              <w:jc w:val="left"/>
            </w:pPr>
            <w:r>
              <w:t xml:space="preserve">VRF output for validator (i) on seed (</w:t>
            </w:r>
            <w:r>
              <w:t xml:space="preserve">_{e,r}).</w:t>
            </w:r>
          </w:p>
        </w:tc>
      </w:tr>
      <w:tr>
        <w:tc>
          <w:tcPr/>
          <w:p>
            <w:pPr>
              <w:pStyle w:val="Compact"/>
              <w:jc w:val="left"/>
            </w:pPr>
            <w:r>
              <w:t xml:space="preserve">(</w:t>
            </w:r>
            <w:r>
              <w:t xml:space="preserve">_i)</w:t>
            </w:r>
          </w:p>
        </w:tc>
        <w:tc>
          <w:tcPr/>
          <w:p>
            <w:pPr>
              <w:pStyle w:val="Compact"/>
              <w:jc w:val="left"/>
            </w:pPr>
            <w:r>
              <w:t xml:space="preserve">VRF proof for validator (i).</w:t>
            </w:r>
          </w:p>
        </w:tc>
      </w:tr>
      <w:tr>
        <w:tc>
          <w:tcPr/>
          <w:p>
            <w:pPr>
              <w:pStyle w:val="Compact"/>
              <w:jc w:val="left"/>
            </w:pPr>
            <w:r>
              <w:t xml:space="preserve">((sk, pk))</w:t>
            </w:r>
          </w:p>
        </w:tc>
        <w:tc>
          <w:tcPr/>
          <w:p>
            <w:pPr>
              <w:pStyle w:val="Compact"/>
              <w:jc w:val="left"/>
            </w:pPr>
            <w:r>
              <w:t xml:space="preserve">Aegis secret and public keys for a validator or relayer.</w:t>
            </w:r>
          </w:p>
        </w:tc>
      </w:tr>
      <w:tr>
        <w:tc>
          <w:tcPr/>
          <w:p>
            <w:pPr>
              <w:pStyle w:val="Compact"/>
              <w:jc w:val="left"/>
            </w:pPr>
            <w:r>
              <w:t xml:space="preserve">(QC)</w:t>
            </w:r>
          </w:p>
        </w:tc>
        <w:tc>
          <w:tcPr/>
          <w:p>
            <w:pPr>
              <w:pStyle w:val="Compact"/>
              <w:jc w:val="left"/>
            </w:pPr>
            <w:r>
              <w:t xml:space="preserve">Quorum certificate aggregating Aegis signatures from consensus validators.</w:t>
            </w:r>
          </w:p>
        </w:tc>
      </w:tr>
      <w:tr>
        <w:tc>
          <w:tcPr/>
          <w:p>
            <w:pPr>
              <w:pStyle w:val="Compact"/>
              <w:jc w:val="left"/>
            </w:pPr>
            <w:r>
              <w:t xml:space="preserve">(t)</w:t>
            </w:r>
          </w:p>
        </w:tc>
        <w:tc>
          <w:tcPr/>
          <w:p>
            <w:pPr>
              <w:pStyle w:val="Compact"/>
              <w:jc w:val="left"/>
            </w:pPr>
            <w:r>
              <w:t xml:space="preserve">Threshold in Aegis threshold signature scheme for SXCP relayers.</w:t>
            </w:r>
          </w:p>
        </w:tc>
      </w:tr>
      <w:tr>
        <w:tc>
          <w:tcPr/>
          <w:p>
            <w:pPr>
              <w:pStyle w:val="Compact"/>
              <w:jc w:val="left"/>
            </w:pPr>
            <w:r>
              <w:t xml:space="preserve">(S_e)</w:t>
            </w:r>
          </w:p>
        </w:tc>
        <w:tc>
          <w:tcPr/>
          <w:p>
            <w:pPr>
              <w:pStyle w:val="Compact"/>
              <w:jc w:val="left"/>
            </w:pPr>
            <w:r>
              <w:t xml:space="preserve">Epoch randomness beacon generated via relayer threshold signatures.</w:t>
            </w:r>
          </w:p>
        </w:tc>
      </w:tr>
      <w:tr>
        <w:tc>
          <w:tcPr/>
          <w:p>
            <w:pPr>
              <w:pStyle w:val="Compact"/>
              <w:jc w:val="left"/>
            </w:pPr>
            <w:r>
              <w:t xml:space="preserve">(</w:t>
            </w:r>
            <w:r>
              <w:t xml:space="preserve">_{e,r})</w:t>
            </w:r>
          </w:p>
        </w:tc>
        <w:tc>
          <w:tcPr/>
          <w:p>
            <w:pPr>
              <w:pStyle w:val="Compact"/>
              <w:jc w:val="left"/>
            </w:pPr>
            <w:r>
              <w:t xml:space="preserve">Seed for VRF evaluation in round (r) of epoch (e).</w:t>
            </w:r>
          </w:p>
        </w:tc>
      </w:tr>
    </w:tbl>
    <w:p>
      <w:pPr>
        <w:pStyle w:val="BodyText"/>
      </w:pPr>
      <w:r>
        <w:t xml:space="preserve">Additional symbols introduced in later sections are defined in the Notation Reference Guide (§2) and indexed in Appendix A.</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2025-10-17T06:36:55Z</dcterms:created>
  <dcterms:modified xsi:type="dcterms:W3CDTF">2025-10-17T06:36:55Z</dcterms:modified>
</cp:coreProperties>
</file>

<file path=docProps/custom.xml><?xml version="1.0" encoding="utf-8"?>
<Properties xmlns="http://schemas.openxmlformats.org/officeDocument/2006/custom-properties" xmlns:vt="http://schemas.openxmlformats.org/officeDocument/2006/docPropsVTypes"/>
</file>