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2EFD" w14:textId="06975385" w:rsidR="00F637FA" w:rsidRPr="00F637FA" w:rsidRDefault="00F637FA" w:rsidP="00F637FA">
      <w:pPr>
        <w:pStyle w:val="Heading1"/>
        <w:spacing w:before="0" w:line="240" w:lineRule="auto"/>
        <w:jc w:val="center"/>
        <w:rPr>
          <w:rFonts w:ascii="Orbitron Medium" w:hAnsi="Orbitron Medium"/>
          <w:color w:val="000000" w:themeColor="text1"/>
          <w:sz w:val="24"/>
          <w:szCs w:val="24"/>
          <w:u w:val="single"/>
        </w:rPr>
      </w:pPr>
      <w:r w:rsidRPr="00F637FA">
        <w:rPr>
          <w:rFonts w:ascii="Orbitron Medium" w:hAnsi="Orbitron Medium"/>
          <w:color w:val="000000" w:themeColor="text1"/>
          <w:sz w:val="24"/>
          <w:szCs w:val="24"/>
          <w:u w:val="single"/>
        </w:rPr>
        <w:t>Non-Presale Methods of Fundraising</w:t>
      </w:r>
    </w:p>
    <w:p w14:paraId="26FCD3EA" w14:textId="5A00E506" w:rsidR="00F637FA" w:rsidRPr="00F637FA" w:rsidRDefault="00F637FA" w:rsidP="00F637FA">
      <w:pPr>
        <w:pStyle w:val="Heading1"/>
        <w:spacing w:before="0" w:line="240" w:lineRule="auto"/>
        <w:rPr>
          <w:rFonts w:ascii="Orbitron Medium" w:eastAsia="Times New Roman" w:hAnsi="Orbitron Medium" w:cs="Times New Roman"/>
          <w:b/>
          <w:bCs/>
          <w:color w:val="000000" w:themeColor="text1"/>
          <w:kern w:val="36"/>
          <w:sz w:val="20"/>
          <w:szCs w:val="20"/>
          <w14:ligatures w14:val="none"/>
        </w:rPr>
      </w:pPr>
      <w:r w:rsidRPr="00F637FA">
        <w:rPr>
          <w:rFonts w:ascii="Inter" w:hAnsi="Inter"/>
          <w:b/>
          <w:bCs/>
          <w:color w:val="000000" w:themeColor="text1"/>
          <w:sz w:val="20"/>
          <w:szCs w:val="20"/>
          <w:u w:val="single"/>
        </w:rPr>
        <w:br/>
      </w:r>
      <w:r w:rsidRPr="00F637FA">
        <w:rPr>
          <w:rFonts w:ascii="Orbitron Medium" w:eastAsia="Times New Roman" w:hAnsi="Orbitron Medium" w:cs="Times New Roman"/>
          <w:b/>
          <w:bCs/>
          <w:color w:val="000000" w:themeColor="text1"/>
          <w:kern w:val="36"/>
          <w:sz w:val="20"/>
          <w:szCs w:val="20"/>
          <w14:ligatures w14:val="none"/>
        </w:rPr>
        <w:t>1. Grants</w:t>
      </w:r>
    </w:p>
    <w:p w14:paraId="4C5A7A2B"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Grant funding represents one of the least regulated and most strategically advantageous avenues for early-stage blockchain development. Grants typically originate from ecosystem foundations, research institutions, universities, cybersecurity programs, and government-sponsored innovation funds. Because grants do not confer equity, tokens, voting rights, or financial expectations, the funds fall outside the scope of securities regulations. Blockchain infrastructure, security engineering, interoperability research, and post-quantum cryptography initiatives tend to score extremely well in grant evaluations, allowing teams to secure meaningful capital without relinquishing any ownership or creating regulatory risk. Grants also serve as external validation of technical credibility, strengthening later fundraising efforts and establishing a strong reputation among industry stakeholders.</w:t>
      </w:r>
    </w:p>
    <w:p w14:paraId="460DAC5F"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Well-targeted grant applications can be structured to support specific deliverables such as protocol R&amp;D, interoperability tooling, formal verification systems, developer infrastructure, or post-quantum cryptographic primitives. This creates a natural alignment between funded research and long-term network needs. Because grants are milestone-driven and mission-oriented, they also encourage disciplined development practices and transparent progress reporting. For a blockchain project focused on foundational technology, grant financing often becomes an essential early pillar of the funding stack.</w:t>
      </w:r>
    </w:p>
    <w:p w14:paraId="159A8FCE" w14:textId="77777777" w:rsidR="00F637FA" w:rsidRPr="00F637FA" w:rsidRDefault="00B84F14" w:rsidP="00F637FA">
      <w:pPr>
        <w:spacing w:after="80" w:line="240" w:lineRule="auto"/>
        <w:rPr>
          <w:rFonts w:ascii="Inter" w:eastAsia="Times New Roman" w:hAnsi="Inter" w:cs="Times New Roman"/>
          <w:color w:val="000000" w:themeColor="text1"/>
          <w:kern w:val="0"/>
          <w:sz w:val="20"/>
          <w:szCs w:val="20"/>
          <w14:ligatures w14:val="none"/>
        </w:rPr>
      </w:pPr>
      <w:r w:rsidRPr="00B84F14">
        <w:rPr>
          <w:rFonts w:ascii="Inter" w:eastAsia="Times New Roman" w:hAnsi="Inter" w:cs="Times New Roman"/>
          <w:noProof/>
          <w:color w:val="000000" w:themeColor="text1"/>
          <w:kern w:val="0"/>
          <w:sz w:val="20"/>
          <w:szCs w:val="20"/>
        </w:rPr>
        <w:pict w14:anchorId="11E3B509">
          <v:rect id="_x0000_i1031" alt="" style="width:468pt;height:.05pt;mso-width-percent:0;mso-height-percent:0;mso-width-percent:0;mso-height-percent:0" o:hralign="center" o:hrstd="t" o:hr="t" fillcolor="#a0a0a0" stroked="f"/>
        </w:pict>
      </w:r>
    </w:p>
    <w:p w14:paraId="00E8ACD3"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658B9CC3" w14:textId="3A559959"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2. Foundation Contributions and Public-Goods Donations</w:t>
      </w:r>
    </w:p>
    <w:p w14:paraId="3809D742"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Foundation contributions offer a clean, low-friction method of funding early-stage development when structured according to public-goods standards. Contributors provide financial support to a foundation, trust, or nonprofit entity dedicated to open-source development, scientific research, or protocol stewardship. These contributions do not provide ownership rights, token allocations, revenue share, or any expectation of profit, which ensures that the funding mechanism remains entirely outside securities regulation. Many major blockchain projects—including Ethereum, Zcash, and multiple zero-knowledge research groups—relied heavily on foundation donations before their token ecosystems matured.</w:t>
      </w:r>
    </w:p>
    <w:p w14:paraId="6C93C076"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A properly established foundation can allocate funds toward engineering work, documentation, research, community development, and public infrastructure without triggering investor expectations. This model aligns well with open-source ethos, allowing supporters to participate in ecosystem growth by backing work they believe in rather than purchasing speculative assets. Contributions also allow a project to maintain operational independence while still benefiting from community support, which helps stabilize long-term development without the governance complications of early token issuance.</w:t>
      </w:r>
    </w:p>
    <w:p w14:paraId="7B4B65A0" w14:textId="77777777" w:rsidR="00F637FA" w:rsidRPr="00F637FA" w:rsidRDefault="00B84F14" w:rsidP="00F637FA">
      <w:pPr>
        <w:spacing w:after="80" w:line="240" w:lineRule="auto"/>
        <w:rPr>
          <w:rFonts w:ascii="Orbitron Medium" w:eastAsia="Times New Roman" w:hAnsi="Orbitron Medium" w:cs="Times New Roman"/>
          <w:color w:val="000000" w:themeColor="text1"/>
          <w:kern w:val="0"/>
          <w:sz w:val="20"/>
          <w:szCs w:val="20"/>
          <w14:ligatures w14:val="none"/>
        </w:rPr>
      </w:pPr>
      <w:r w:rsidRPr="00B84F14">
        <w:rPr>
          <w:rFonts w:ascii="Orbitron Medium" w:eastAsia="Times New Roman" w:hAnsi="Orbitron Medium" w:cs="Times New Roman"/>
          <w:noProof/>
          <w:color w:val="000000" w:themeColor="text1"/>
          <w:kern w:val="0"/>
          <w:sz w:val="20"/>
          <w:szCs w:val="20"/>
        </w:rPr>
        <w:pict w14:anchorId="664E6595">
          <v:rect id="_x0000_i1030" alt="" style="width:468pt;height:.05pt;mso-width-percent:0;mso-height-percent:0;mso-width-percent:0;mso-height-percent:0" o:hralign="center" o:hrstd="t" o:hr="t" fillcolor="#a0a0a0" stroked="f"/>
        </w:pict>
      </w:r>
    </w:p>
    <w:p w14:paraId="5E9869F4"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1686A795" w14:textId="793AC4AF"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3. Revenue-Generating Services and Engineering Contracts</w:t>
      </w:r>
    </w:p>
    <w:p w14:paraId="46D7CDBB"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Service-based revenue represents one of the most straightforward and legally unambiguous methods of raising capital in the early stages of blockchain development. A technical team can provide consulting, engineering services, interoperability integration work, cryptographic research, proof-of-concept prototypes, infrastructure deployment, or enterprise support contracts. These arrangements follow standard commercial contracting practices and do not involve tokens, investment vehicles, or financial returns. As a result, they present no securities classification risk.</w:t>
      </w:r>
    </w:p>
    <w:p w14:paraId="5FFC472A"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This model works especially well when a project specializes in advanced technical domains such as post-quantum security, cross-chain interoperability, or validator infrastructure. Enterprise clients often pay substantial fees for specialized R&amp;D, systems architecture, and blockchain integration work. Revenue generated in this manner can be reinvested into protocol development, allowing the core team to fund operations while simultaneously cultivating partnerships, technical credibility, and future customer pipelines. This approach also ensures that technical talent remains aligned with delivering real-world solutions, strengthening both the product roadmap and market relevance.</w:t>
      </w:r>
    </w:p>
    <w:p w14:paraId="6C42F3FE" w14:textId="77777777" w:rsidR="00F637FA" w:rsidRPr="00F637FA" w:rsidRDefault="00B84F14" w:rsidP="00F637FA">
      <w:pPr>
        <w:spacing w:after="80" w:line="240" w:lineRule="auto"/>
        <w:rPr>
          <w:rFonts w:ascii="Inter" w:eastAsia="Times New Roman" w:hAnsi="Inter" w:cs="Times New Roman"/>
          <w:color w:val="000000" w:themeColor="text1"/>
          <w:kern w:val="0"/>
          <w:sz w:val="20"/>
          <w:szCs w:val="20"/>
          <w14:ligatures w14:val="none"/>
        </w:rPr>
      </w:pPr>
      <w:r w:rsidRPr="00B84F14">
        <w:rPr>
          <w:rFonts w:ascii="Inter" w:eastAsia="Times New Roman" w:hAnsi="Inter" w:cs="Times New Roman"/>
          <w:noProof/>
          <w:color w:val="000000" w:themeColor="text1"/>
          <w:kern w:val="0"/>
          <w:sz w:val="20"/>
          <w:szCs w:val="20"/>
        </w:rPr>
        <w:pict w14:anchorId="0B4456CD">
          <v:rect id="_x0000_i1029" alt="" style="width:468pt;height:.05pt;mso-width-percent:0;mso-height-percent:0;mso-width-percent:0;mso-height-percent:0" o:hralign="center" o:hrstd="t" o:hr="t" fillcolor="#a0a0a0" stroked="f"/>
        </w:pict>
      </w:r>
    </w:p>
    <w:p w14:paraId="78BB3CC7"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5F973A07" w14:textId="1825AF1A"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4. Strategic Corporate Partnerships</w:t>
      </w:r>
    </w:p>
    <w:p w14:paraId="479A07D1"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Strategic partnerships provide another commercially grounded funding mechanism. In this model, a corporation sponsors research, pays for pilot programs, licenses specific technology components, or funds development of prototypes that support mutually aligned objectives. The structure resembles traditional enterprise R&amp;D contracting rather than investment activity. The sponsoring entity receives deliverables or collaborative innovation outcomes, while the blockchain project receives financial resources and strategic alignment with credible industry partners.</w:t>
      </w:r>
    </w:p>
    <w:p w14:paraId="7B2ABEA1"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Such partnerships often emerge when a company seeks exposure to advanced cryptography, distributed systems, cross-chain capabilities, or high-assurance security frameworks. The engagement may include joint research, co-development agreements, early access arrangements, or technology evaluations. Because the relationship is based on services and intellectual development rather than tokens or equity, the arrangement avoids securities considerations while still generating significant funding and strengthening enterprise credibility.</w:t>
      </w:r>
    </w:p>
    <w:p w14:paraId="31E0214C" w14:textId="77777777" w:rsidR="00F637FA" w:rsidRPr="00F637FA" w:rsidRDefault="00B84F14" w:rsidP="00F637FA">
      <w:pPr>
        <w:spacing w:after="80" w:line="240" w:lineRule="auto"/>
        <w:rPr>
          <w:rFonts w:ascii="Inter" w:eastAsia="Times New Roman" w:hAnsi="Inter" w:cs="Times New Roman"/>
          <w:color w:val="000000" w:themeColor="text1"/>
          <w:kern w:val="0"/>
          <w:sz w:val="20"/>
          <w:szCs w:val="20"/>
          <w14:ligatures w14:val="none"/>
        </w:rPr>
      </w:pPr>
      <w:r w:rsidRPr="00B84F14">
        <w:rPr>
          <w:rFonts w:ascii="Inter" w:eastAsia="Times New Roman" w:hAnsi="Inter" w:cs="Times New Roman"/>
          <w:noProof/>
          <w:color w:val="000000" w:themeColor="text1"/>
          <w:kern w:val="0"/>
          <w:sz w:val="20"/>
          <w:szCs w:val="20"/>
        </w:rPr>
        <w:pict w14:anchorId="3B10ACA1">
          <v:rect id="_x0000_i1028" alt="" style="width:468pt;height:.05pt;mso-width-percent:0;mso-height-percent:0;mso-width-percent:0;mso-height-percent:0" o:hralign="center" o:hrstd="t" o:hr="t" fillcolor="#a0a0a0" stroked="f"/>
        </w:pict>
      </w:r>
    </w:p>
    <w:p w14:paraId="1D2E56A6"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7E6A2F5B" w14:textId="4217914F"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5. Equity-Based Fundraising Through a Development Company</w:t>
      </w:r>
    </w:p>
    <w:p w14:paraId="4AA7B297"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Raising equity through a corporate entity remains one of the most common and effective ways to fund blockchain development prior to a token-generation event. This method uses traditional financial instruments such as SAFEs, convertible notes, or common stock. Although equity offerings carry standard corporate finance obligations, they do not involve tokens, token rights, or token speculation. Consequently, this approach avoids token-related securities complexity while enabling substantial capital formation.</w:t>
      </w:r>
    </w:p>
    <w:p w14:paraId="1E7B205A"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Equity rounds are widely used by credible Layer-1 and Layer-2 teams. Solana Labs, Avalanche Labs, StarkWare, Scroll, Celestia, and numerous other infrastructure projects secured tens of millions of dollars through equity filings well before issuing tokens. This structure is especially appealing to institutional investors who prefer standardized legal agreements and clear corporate governance. The model also allows development efforts to progress without prematurely locking in token economics or facing regulatory scrutiny tied to early token distribution. A strong corporate raise builds financial runway while maintaining full flexibility in designing later token offerings under proper compliance.</w:t>
      </w:r>
    </w:p>
    <w:p w14:paraId="7494D9D5" w14:textId="77777777" w:rsidR="00F637FA" w:rsidRPr="00F637FA" w:rsidRDefault="00B84F14" w:rsidP="00F637FA">
      <w:pPr>
        <w:spacing w:after="80" w:line="240" w:lineRule="auto"/>
        <w:rPr>
          <w:rFonts w:ascii="Inter" w:eastAsia="Times New Roman" w:hAnsi="Inter" w:cs="Times New Roman"/>
          <w:color w:val="000000" w:themeColor="text1"/>
          <w:kern w:val="0"/>
          <w:sz w:val="20"/>
          <w:szCs w:val="20"/>
          <w14:ligatures w14:val="none"/>
        </w:rPr>
      </w:pPr>
      <w:r w:rsidRPr="00B84F14">
        <w:rPr>
          <w:rFonts w:ascii="Inter" w:eastAsia="Times New Roman" w:hAnsi="Inter" w:cs="Times New Roman"/>
          <w:noProof/>
          <w:color w:val="000000" w:themeColor="text1"/>
          <w:kern w:val="0"/>
          <w:sz w:val="20"/>
          <w:szCs w:val="20"/>
        </w:rPr>
        <w:pict w14:anchorId="691B8DC7">
          <v:rect id="_x0000_i1027" alt="" style="width:468pt;height:.05pt;mso-width-percent:0;mso-height-percent:0;mso-width-percent:0;mso-height-percent:0" o:hralign="center" o:hrstd="t" o:hr="t" fillcolor="#a0a0a0" stroked="f"/>
        </w:pict>
      </w:r>
    </w:p>
    <w:p w14:paraId="54F2D249"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0D75C8FA" w14:textId="15BED4B5"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6. Non-Token Memberships, Programs, and Commercial Access</w:t>
      </w:r>
    </w:p>
    <w:p w14:paraId="7AABD763"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A project can generate funding through well-designed commercial offerings that do not convey any investment characteristics. Examples include developer memberships, enterprise memberships, early-access programs, specialized training, certifications, advanced analytics tools, secure communication modules, or sandbox environments. These offerings provide real services or educational value in exchange for payment. Because they do not confer ownership, token rights, or speculative upside, they fall under standard commercial law rather than securities regulation.</w:t>
      </w:r>
    </w:p>
    <w:p w14:paraId="2D72F67D"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This model works particularly well when the ecosystem includes developer tools, advanced cryptographic frameworks, or validator-management infrastructure. Charging for specialized access or training can generate meaningful revenue while strengthening technical adoption and community engagement. The model also serves as a bridge between early development and full mainnet launch since it allows enterprises and developers to integrate ecosystem elements without tokens being involved.</w:t>
      </w:r>
    </w:p>
    <w:p w14:paraId="2E66E71D" w14:textId="77777777" w:rsidR="00F637FA" w:rsidRPr="00F637FA" w:rsidRDefault="00B84F14" w:rsidP="00F637FA">
      <w:pPr>
        <w:spacing w:after="80" w:line="240" w:lineRule="auto"/>
        <w:rPr>
          <w:rFonts w:ascii="Inter" w:eastAsia="Times New Roman" w:hAnsi="Inter" w:cs="Times New Roman"/>
          <w:color w:val="000000" w:themeColor="text1"/>
          <w:kern w:val="0"/>
          <w:sz w:val="20"/>
          <w:szCs w:val="20"/>
          <w14:ligatures w14:val="none"/>
        </w:rPr>
      </w:pPr>
      <w:r w:rsidRPr="00B84F14">
        <w:rPr>
          <w:rFonts w:ascii="Inter" w:eastAsia="Times New Roman" w:hAnsi="Inter" w:cs="Times New Roman"/>
          <w:noProof/>
          <w:color w:val="000000" w:themeColor="text1"/>
          <w:kern w:val="0"/>
          <w:sz w:val="20"/>
          <w:szCs w:val="20"/>
        </w:rPr>
        <w:pict w14:anchorId="26870D6B">
          <v:rect id="_x0000_i1026" alt="" style="width:468pt;height:.05pt;mso-width-percent:0;mso-height-percent:0;mso-width-percent:0;mso-height-percent:0" o:hralign="center" o:hrstd="t" o:hr="t" fillcolor="#a0a0a0" stroked="f"/>
        </w:pict>
      </w:r>
    </w:p>
    <w:p w14:paraId="027A0CA5"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sectPr w:rsidR="00F637FA" w:rsidSect="00F637FA">
          <w:pgSz w:w="12240" w:h="15840"/>
          <w:pgMar w:top="630" w:right="1440" w:bottom="315" w:left="1440" w:header="720" w:footer="720" w:gutter="0"/>
          <w:cols w:space="720"/>
          <w:docGrid w:linePitch="360"/>
        </w:sectPr>
      </w:pPr>
    </w:p>
    <w:p w14:paraId="3CBD04E0" w14:textId="77777777"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lastRenderedPageBreak/>
        <w:t>7. Hardware or Software Preorders</w:t>
      </w:r>
    </w:p>
    <w:p w14:paraId="3A70C7D6"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Preorders for hardware components, software modules, node-management tools, or security appliances can provide working capital without intersecting securities law. Customers pay in advance for a future deliverable, similar to standard preorder models in the technology industry. As long as the offering does not include token rights or financial incentives tied to token performance, the transaction remains purely commercial.</w:t>
      </w:r>
    </w:p>
    <w:p w14:paraId="13AF3B01"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Preorders are especially effective for projects developing specialized equipment, validator hardware, cryptographic modules, or developer kits. This approach builds early demand, validates interest, and creates predictable revenue streams. It also fosters a community of early adopters who are financially invested in the ecosystem’s tooling rather than its speculative value.</w:t>
      </w:r>
    </w:p>
    <w:p w14:paraId="44775C2C" w14:textId="77777777" w:rsidR="00F637FA" w:rsidRPr="00F637FA" w:rsidRDefault="00B84F14" w:rsidP="00F637FA">
      <w:pPr>
        <w:spacing w:after="80" w:line="240" w:lineRule="auto"/>
        <w:rPr>
          <w:rFonts w:ascii="Orbitron Black" w:eastAsia="Times New Roman" w:hAnsi="Orbitron Black" w:cs="Times New Roman"/>
          <w:b/>
          <w:bCs/>
          <w:color w:val="000000" w:themeColor="text1"/>
          <w:kern w:val="0"/>
          <w:sz w:val="20"/>
          <w:szCs w:val="20"/>
          <w14:ligatures w14:val="none"/>
        </w:rPr>
      </w:pPr>
      <w:r w:rsidRPr="00B84F14">
        <w:rPr>
          <w:rFonts w:ascii="Orbitron Black" w:eastAsia="Times New Roman" w:hAnsi="Orbitron Black" w:cs="Times New Roman"/>
          <w:b/>
          <w:noProof/>
          <w:color w:val="000000" w:themeColor="text1"/>
          <w:kern w:val="0"/>
          <w:sz w:val="20"/>
          <w:szCs w:val="20"/>
        </w:rPr>
        <w:pict w14:anchorId="7D796F2A">
          <v:rect id="_x0000_i1025" alt="" style="width:468pt;height:.05pt;mso-width-percent:0;mso-height-percent:0;mso-width-percent:0;mso-height-percent:0" o:hralign="center" o:hrstd="t" o:hr="t" fillcolor="#a0a0a0" stroked="f"/>
        </w:pict>
      </w:r>
    </w:p>
    <w:p w14:paraId="0705DA60" w14:textId="77777777" w:rsid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p>
    <w:p w14:paraId="3217D06A" w14:textId="1F43CC6B" w:rsidR="00F637FA" w:rsidRPr="00F637FA" w:rsidRDefault="00F637FA" w:rsidP="00F637FA">
      <w:pPr>
        <w:spacing w:after="80" w:line="240" w:lineRule="auto"/>
        <w:outlineLvl w:val="0"/>
        <w:rPr>
          <w:rFonts w:ascii="Orbitron Medium" w:eastAsia="Times New Roman" w:hAnsi="Orbitron Medium" w:cs="Times New Roman"/>
          <w:b/>
          <w:bCs/>
          <w:color w:val="000000" w:themeColor="text1"/>
          <w:kern w:val="36"/>
          <w:sz w:val="20"/>
          <w:szCs w:val="20"/>
          <w14:ligatures w14:val="none"/>
        </w:rPr>
      </w:pPr>
      <w:r w:rsidRPr="00F637FA">
        <w:rPr>
          <w:rFonts w:ascii="Orbitron Medium" w:eastAsia="Times New Roman" w:hAnsi="Orbitron Medium" w:cs="Times New Roman"/>
          <w:b/>
          <w:bCs/>
          <w:color w:val="000000" w:themeColor="text1"/>
          <w:kern w:val="36"/>
          <w:sz w:val="20"/>
          <w:szCs w:val="20"/>
          <w14:ligatures w14:val="none"/>
        </w:rPr>
        <w:t>8. Non-Investment Crowdfunding</w:t>
      </w:r>
    </w:p>
    <w:p w14:paraId="56A33079"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Crowdfunding can provide modest but meaningful early financing when structured as a non-investment model. Supporters contribute funds in exchange for tangible items such as educational materials, branded merchandise, public-goods sponsorship recognition, event access, or community rewards that do not convey financial rights. This approach avoids securities triggers because contributions are linked to consumable benefits rather than capital formation for profit.</w:t>
      </w:r>
    </w:p>
    <w:p w14:paraId="4D87741D" w14:textId="77777777" w:rsidR="00F637FA" w:rsidRPr="00F637FA" w:rsidRDefault="00F637FA" w:rsidP="00F637FA">
      <w:pPr>
        <w:spacing w:after="80" w:line="240" w:lineRule="auto"/>
        <w:rPr>
          <w:rFonts w:ascii="Inter" w:eastAsia="Times New Roman" w:hAnsi="Inter" w:cs="Times New Roman"/>
          <w:color w:val="000000" w:themeColor="text1"/>
          <w:kern w:val="0"/>
          <w:sz w:val="20"/>
          <w:szCs w:val="20"/>
          <w14:ligatures w14:val="none"/>
        </w:rPr>
      </w:pPr>
      <w:r w:rsidRPr="00F637FA">
        <w:rPr>
          <w:rFonts w:ascii="Inter" w:eastAsia="Times New Roman" w:hAnsi="Inter" w:cs="Times New Roman"/>
          <w:color w:val="000000" w:themeColor="text1"/>
          <w:kern w:val="0"/>
          <w:sz w:val="20"/>
          <w:szCs w:val="20"/>
          <w14:ligatures w14:val="none"/>
        </w:rPr>
        <w:t>This model works well for building grassroots momentum and strengthening public engagement. It can also help finance community-building initiatives such as hackathons, workshops, educational campaigns, and documentation efforts. When positioned as a public-goods support mechanism, crowdfunding becomes a light-touch, community-focused funding stream that reinforces the project’s identity and mission.</w:t>
      </w:r>
    </w:p>
    <w:p w14:paraId="463B95D1" w14:textId="48647DFA" w:rsidR="00F637FA" w:rsidRPr="00F637FA" w:rsidRDefault="00F637FA" w:rsidP="00F637FA">
      <w:pPr>
        <w:spacing w:after="80" w:line="240" w:lineRule="auto"/>
        <w:rPr>
          <w:rFonts w:ascii="Inter" w:hAnsi="Inter"/>
          <w:b/>
          <w:bCs/>
          <w:color w:val="000000" w:themeColor="text1"/>
          <w:sz w:val="20"/>
          <w:szCs w:val="20"/>
          <w:u w:val="single"/>
        </w:rPr>
      </w:pPr>
      <w:r w:rsidRPr="00F637FA">
        <w:rPr>
          <w:rFonts w:ascii="Inter" w:hAnsi="Inter"/>
          <w:b/>
          <w:bCs/>
          <w:color w:val="000000" w:themeColor="text1"/>
          <w:sz w:val="20"/>
          <w:szCs w:val="20"/>
          <w:u w:val="single"/>
        </w:rPr>
        <w:br w:type="page"/>
      </w:r>
    </w:p>
    <w:p w14:paraId="5241BBE8" w14:textId="77777777" w:rsidR="00F637FA" w:rsidRPr="00F637FA" w:rsidRDefault="00F637FA" w:rsidP="00F637FA">
      <w:pPr>
        <w:spacing w:after="80" w:line="240" w:lineRule="auto"/>
        <w:rPr>
          <w:rFonts w:ascii="Inter" w:hAnsi="Inter"/>
          <w:b/>
          <w:bCs/>
          <w:color w:val="000000" w:themeColor="text1"/>
          <w:sz w:val="20"/>
          <w:szCs w:val="20"/>
          <w:u w:val="single"/>
        </w:rPr>
      </w:pPr>
    </w:p>
    <w:sectPr w:rsidR="00F637FA" w:rsidRPr="00F637FA" w:rsidSect="00F637FA">
      <w:pgSz w:w="12240" w:h="15840"/>
      <w:pgMar w:top="819" w:right="1440" w:bottom="51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rbitron Medium">
    <w:panose1 w:val="00000000000000000000"/>
    <w:charset w:val="00"/>
    <w:family w:val="auto"/>
    <w:pitch w:val="variable"/>
    <w:sig w:usb0="80000067" w:usb1="10000042" w:usb2="00000000" w:usb3="00000000" w:csb0="00000001" w:csb1="00000000"/>
  </w:font>
  <w:font w:name="Inter">
    <w:panose1 w:val="02000503000000020004"/>
    <w:charset w:val="00"/>
    <w:family w:val="auto"/>
    <w:pitch w:val="variable"/>
    <w:sig w:usb0="E00002FF" w:usb1="1200A1FF" w:usb2="00000000" w:usb3="00000000" w:csb0="0000019F" w:csb1="00000000"/>
  </w:font>
  <w:font w:name="Orbitron Black">
    <w:panose1 w:val="00000000000000000000"/>
    <w:charset w:val="00"/>
    <w:family w:val="auto"/>
    <w:pitch w:val="variable"/>
    <w:sig w:usb0="80000067" w:usb1="10000042"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7FA"/>
    <w:rsid w:val="00224B68"/>
    <w:rsid w:val="00B84F14"/>
    <w:rsid w:val="00F6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438EB"/>
  <w15:chartTrackingRefBased/>
  <w15:docId w15:val="{74798422-7F4F-9D4D-8866-9AE733EA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7FA"/>
    <w:rPr>
      <w:rFonts w:eastAsiaTheme="majorEastAsia" w:cstheme="majorBidi"/>
      <w:color w:val="272727" w:themeColor="text1" w:themeTint="D8"/>
    </w:rPr>
  </w:style>
  <w:style w:type="paragraph" w:styleId="Title">
    <w:name w:val="Title"/>
    <w:basedOn w:val="Normal"/>
    <w:next w:val="Normal"/>
    <w:link w:val="TitleChar"/>
    <w:uiPriority w:val="10"/>
    <w:qFormat/>
    <w:rsid w:val="00F63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7FA"/>
    <w:pPr>
      <w:spacing w:before="160"/>
      <w:jc w:val="center"/>
    </w:pPr>
    <w:rPr>
      <w:i/>
      <w:iCs/>
      <w:color w:val="404040" w:themeColor="text1" w:themeTint="BF"/>
    </w:rPr>
  </w:style>
  <w:style w:type="character" w:customStyle="1" w:styleId="QuoteChar">
    <w:name w:val="Quote Char"/>
    <w:basedOn w:val="DefaultParagraphFont"/>
    <w:link w:val="Quote"/>
    <w:uiPriority w:val="29"/>
    <w:rsid w:val="00F637FA"/>
    <w:rPr>
      <w:i/>
      <w:iCs/>
      <w:color w:val="404040" w:themeColor="text1" w:themeTint="BF"/>
    </w:rPr>
  </w:style>
  <w:style w:type="paragraph" w:styleId="ListParagraph">
    <w:name w:val="List Paragraph"/>
    <w:basedOn w:val="Normal"/>
    <w:uiPriority w:val="34"/>
    <w:qFormat/>
    <w:rsid w:val="00F637FA"/>
    <w:pPr>
      <w:ind w:left="720"/>
      <w:contextualSpacing/>
    </w:pPr>
  </w:style>
  <w:style w:type="character" w:styleId="IntenseEmphasis">
    <w:name w:val="Intense Emphasis"/>
    <w:basedOn w:val="DefaultParagraphFont"/>
    <w:uiPriority w:val="21"/>
    <w:qFormat/>
    <w:rsid w:val="00F637FA"/>
    <w:rPr>
      <w:i/>
      <w:iCs/>
      <w:color w:val="0F4761" w:themeColor="accent1" w:themeShade="BF"/>
    </w:rPr>
  </w:style>
  <w:style w:type="paragraph" w:styleId="IntenseQuote">
    <w:name w:val="Intense Quote"/>
    <w:basedOn w:val="Normal"/>
    <w:next w:val="Normal"/>
    <w:link w:val="IntenseQuoteChar"/>
    <w:uiPriority w:val="30"/>
    <w:qFormat/>
    <w:rsid w:val="00F63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7FA"/>
    <w:rPr>
      <w:i/>
      <w:iCs/>
      <w:color w:val="0F4761" w:themeColor="accent1" w:themeShade="BF"/>
    </w:rPr>
  </w:style>
  <w:style w:type="character" w:styleId="IntenseReference">
    <w:name w:val="Intense Reference"/>
    <w:basedOn w:val="DefaultParagraphFont"/>
    <w:uiPriority w:val="32"/>
    <w:qFormat/>
    <w:rsid w:val="00F637FA"/>
    <w:rPr>
      <w:b/>
      <w:bCs/>
      <w:smallCaps/>
      <w:color w:val="0F4761" w:themeColor="accent1" w:themeShade="BF"/>
      <w:spacing w:val="5"/>
    </w:rPr>
  </w:style>
  <w:style w:type="character" w:styleId="Strong">
    <w:name w:val="Strong"/>
    <w:basedOn w:val="DefaultParagraphFont"/>
    <w:uiPriority w:val="22"/>
    <w:qFormat/>
    <w:rsid w:val="00F637FA"/>
    <w:rPr>
      <w:b/>
      <w:bCs/>
    </w:rPr>
  </w:style>
  <w:style w:type="paragraph" w:styleId="NormalWeb">
    <w:name w:val="Normal (Web)"/>
    <w:basedOn w:val="Normal"/>
    <w:uiPriority w:val="99"/>
    <w:semiHidden/>
    <w:unhideWhenUsed/>
    <w:rsid w:val="00F637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pup</dc:creator>
  <cp:keywords/>
  <dc:description/>
  <cp:lastModifiedBy>dev pup</cp:lastModifiedBy>
  <cp:revision>1</cp:revision>
  <dcterms:created xsi:type="dcterms:W3CDTF">2025-11-30T16:50:00Z</dcterms:created>
  <dcterms:modified xsi:type="dcterms:W3CDTF">2025-11-30T16:55:00Z</dcterms:modified>
</cp:coreProperties>
</file>