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compilation-targets-runtime"/>
    <w:p>
      <w:pPr>
        <w:pStyle w:val="Heading1"/>
      </w:pPr>
      <w:r>
        <w:t xml:space="preserve">6. Compilation Targets &amp; Runtime</w:t>
      </w:r>
    </w:p>
    <w:p>
      <w:pPr>
        <w:pStyle w:val="FirstParagraph"/>
      </w:pPr>
      <w:r>
        <w:t xml:space="preserve">SynQ source code passes through several stages before</w:t>
      </w:r>
      <w:r>
        <w:t xml:space="preserve"> </w:t>
      </w:r>
      <w:r>
        <w:t xml:space="preserve">execution. The compilation pipeline ensures that</w:t>
      </w:r>
      <w:r>
        <w:t xml:space="preserve"> </w:t>
      </w:r>
      <w:r>
        <w:t xml:space="preserve">high‑level constructs translate into deterministic, gas‑</w:t>
      </w:r>
      <w:r>
        <w:t xml:space="preserve"> </w:t>
      </w:r>
      <w:r>
        <w:t xml:space="preserve">predictable bytecode. The runtime executes the bytecode</w:t>
      </w:r>
      <w:r>
        <w:t xml:space="preserve"> </w:t>
      </w:r>
      <w:r>
        <w:t xml:space="preserve">within a virtual machine (VM) that enforces gas limits,</w:t>
      </w:r>
      <w:r>
        <w:t xml:space="preserve"> </w:t>
      </w:r>
      <w:r>
        <w:t xml:space="preserve">supports PQC precompiles, and manages state.</w:t>
      </w:r>
    </w:p>
    <w:bookmarkStart w:id="20" w:name="compilation-pipeline"/>
    <w:p>
      <w:pPr>
        <w:pStyle w:val="Heading2"/>
      </w:pPr>
      <w:r>
        <w:t xml:space="preserve">6.1 Compilation Pipeline</w:t>
      </w:r>
    </w:p>
    <w:p>
      <w:pPr>
        <w:pStyle w:val="FirstParagraph"/>
      </w:pPr>
      <w:r>
        <w:t xml:space="preserve">The compiler performs the following steps: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Lexing &amp; Parsing:</w:t>
      </w:r>
      <w:r>
        <w:t xml:space="preserve"> </w:t>
      </w:r>
      <w:r>
        <w:t xml:space="preserve">Source code is tokenised and</w:t>
      </w:r>
      <w:r>
        <w:t xml:space="preserve"> </w:t>
      </w:r>
      <w:r>
        <w:t xml:space="preserve">parsed into an abstract syntax tree (AST) using the</w:t>
      </w:r>
      <w:r>
        <w:t xml:space="preserve"> </w:t>
      </w:r>
      <w:r>
        <w:t xml:space="preserve">grammar in Appendix 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Type Checking:</w:t>
      </w:r>
      <w:r>
        <w:t xml:space="preserve"> </w:t>
      </w:r>
      <w:r>
        <w:t xml:space="preserve">The AST is annotated with types</w:t>
      </w:r>
      <w:r>
        <w:t xml:space="preserve"> </w:t>
      </w:r>
      <w:r>
        <w:t xml:space="preserve">according to the rules in §2.7. Type mismatches and</w:t>
      </w:r>
      <w:r>
        <w:t xml:space="preserve"> </w:t>
      </w:r>
      <w:r>
        <w:t xml:space="preserve">undefined identifiers cause compilation errors.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Intermediate Representation (IR) Generation:</w:t>
      </w:r>
      <w:r>
        <w:t xml:space="preserve"> </w:t>
      </w:r>
      <w:r>
        <w:t xml:space="preserve">The</w:t>
      </w:r>
      <w:r>
        <w:t xml:space="preserve"> </w:t>
      </w:r>
      <w:r>
        <w:t xml:space="preserve">compiler lowers high‑level constructs into a linear IR</w:t>
      </w:r>
      <w:r>
        <w:t xml:space="preserve"> </w:t>
      </w:r>
      <w:r>
        <w:t xml:space="preserve">defined in Appendix C. The IR uses explicit control</w:t>
      </w:r>
      <w:r>
        <w:t xml:space="preserve"> </w:t>
      </w:r>
      <w:r>
        <w:t xml:space="preserve">flow instructions (e.g.,</w:t>
      </w:r>
      <w:r>
        <w:t xml:space="preserve"> </w:t>
      </w:r>
      <w:r>
        <w:rPr>
          <w:rStyle w:val="VerbatimChar"/>
        </w:rPr>
        <w:t xml:space="preserve">br</w:t>
      </w:r>
      <w:r>
        <w:t xml:space="preserve">,</w:t>
      </w:r>
      <w:r>
        <w:t xml:space="preserve"> </w:t>
      </w:r>
      <w:r>
        <w:rPr>
          <w:rStyle w:val="VerbatimChar"/>
        </w:rPr>
        <w:t xml:space="preserve">call</w:t>
      </w:r>
      <w:r>
        <w:t xml:space="preserve">) and typed</w:t>
      </w:r>
      <w:r>
        <w:t xml:space="preserve"> </w:t>
      </w:r>
      <w:r>
        <w:t xml:space="preserve">registers.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Optimisation:</w:t>
      </w:r>
      <w:r>
        <w:t xml:space="preserve"> </w:t>
      </w:r>
      <w:r>
        <w:t xml:space="preserve">The IR is optimised: constant</w:t>
      </w:r>
      <w:r>
        <w:t xml:space="preserve"> </w:t>
      </w:r>
      <w:r>
        <w:t xml:space="preserve">propagation, dead code elimination, inlining, and</w:t>
      </w:r>
      <w:r>
        <w:t xml:space="preserve"> </w:t>
      </w:r>
      <w:r>
        <w:t xml:space="preserve">PQC batching. Gas annotations guide loop unrolling and</w:t>
      </w:r>
      <w:r>
        <w:t xml:space="preserve"> </w:t>
      </w:r>
      <w:r>
        <w:t xml:space="preserve">inlining decisions.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Bytecode Emission:</w:t>
      </w:r>
      <w:r>
        <w:t xml:space="preserve"> </w:t>
      </w:r>
      <w:r>
        <w:t xml:space="preserve">The optimised IR is converted into</w:t>
      </w:r>
      <w:r>
        <w:t xml:space="preserve"> </w:t>
      </w:r>
      <w:r>
        <w:t xml:space="preserve">VM bytecode. Each instruction includes an opcode and</w:t>
      </w:r>
      <w:r>
        <w:t xml:space="preserve"> </w:t>
      </w:r>
      <w:r>
        <w:t xml:space="preserve">operands. The final binary is packaged along with</w:t>
      </w:r>
      <w:r>
        <w:t xml:space="preserve"> </w:t>
      </w:r>
      <w:r>
        <w:t xml:space="preserve">metadata (ABI, gas table).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synq</w:t>
      </w:r>
      <w:r>
        <w:t xml:space="preserve"> </w:t>
      </w:r>
      <w:r>
        <w:t xml:space="preserve">CLI wraps this pipeline:</w:t>
      </w:r>
      <w:r>
        <w:t xml:space="preserve"> </w:t>
      </w:r>
      <w:r>
        <w:rPr>
          <w:rStyle w:val="VerbatimChar"/>
        </w:rPr>
        <w:t xml:space="preserve">synq compile MyContract.sq -o MyContract.sqb</w:t>
      </w:r>
      <w:r>
        <w:t xml:space="preserve"> </w:t>
      </w:r>
      <w:r>
        <w:t xml:space="preserve">outputs the bytecode.</w:t>
      </w:r>
    </w:p>
    <w:bookmarkEnd w:id="20"/>
    <w:bookmarkStart w:id="21" w:name="intermediate-representation-ir"/>
    <w:p>
      <w:pPr>
        <w:pStyle w:val="Heading2"/>
      </w:pPr>
      <w:r>
        <w:t xml:space="preserve">6.2 Intermediate Representation (IR)</w:t>
      </w:r>
    </w:p>
    <w:p>
      <w:pPr>
        <w:pStyle w:val="FirstParagraph"/>
      </w:pPr>
      <w:r>
        <w:t xml:space="preserve">The SynQ IR is a typed, register‑based language. It</w:t>
      </w:r>
      <w:r>
        <w:t xml:space="preserve"> </w:t>
      </w:r>
      <w:r>
        <w:t xml:space="preserve">exposes explicit control flow and resource management to</w:t>
      </w:r>
      <w:r>
        <w:t xml:space="preserve"> </w:t>
      </w:r>
      <w:r>
        <w:t xml:space="preserve">facilitate formal verification. Key IR instructions</w:t>
      </w:r>
      <w:r>
        <w:t xml:space="preserve"> </w:t>
      </w:r>
      <w:r>
        <w:t xml:space="preserve">include: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LOAD r, [slot]</w:t>
      </w:r>
      <w:r>
        <w:t xml:space="preserve"> </w:t>
      </w:r>
      <w:r>
        <w:t xml:space="preserve">– load storage slot into register</w:t>
      </w:r>
      <w:r>
        <w:t xml:space="preserve"> </w:t>
      </w:r>
      <w:r>
        <w:rPr>
          <w:rStyle w:val="VerbatimChar"/>
        </w:rPr>
        <w:t xml:space="preserve">r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STORE [slot], r</w:t>
      </w:r>
      <w:r>
        <w:t xml:space="preserve"> </w:t>
      </w:r>
      <w:r>
        <w:t xml:space="preserve">– store register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into slot.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CALL f, args…</w:t>
      </w:r>
      <w:r>
        <w:t xml:space="preserve"> </w:t>
      </w:r>
      <w:r>
        <w:t xml:space="preserve">– call an external function or precompile.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JMP label</w:t>
      </w:r>
      <w:r>
        <w:t xml:space="preserve"> </w:t>
      </w:r>
      <w:r>
        <w:t xml:space="preserve">– jump to a label unconditionally.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JMP_IF r, label</w:t>
      </w:r>
      <w:r>
        <w:t xml:space="preserve"> </w:t>
      </w:r>
      <w:r>
        <w:t xml:space="preserve">– branch based on the boolean in</w:t>
      </w:r>
      <w:r>
        <w:t xml:space="preserve"> </w:t>
      </w:r>
      <w:r>
        <w:rPr>
          <w:rStyle w:val="VerbatimChar"/>
        </w:rPr>
        <w:t xml:space="preserve">r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RET r</w:t>
      </w:r>
      <w:r>
        <w:t xml:space="preserve"> </w:t>
      </w:r>
      <w:r>
        <w:t xml:space="preserve">– return the value in register</w:t>
      </w:r>
      <w:r>
        <w:t xml:space="preserve"> </w:t>
      </w:r>
      <w:r>
        <w:rPr>
          <w:rStyle w:val="VerbatimChar"/>
        </w:rPr>
        <w:t xml:space="preserve">r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VERIFY_PQC op, args</w:t>
      </w:r>
      <w:r>
        <w:t xml:space="preserve"> </w:t>
      </w:r>
      <w:r>
        <w:t xml:space="preserve">– invoke PQC precompile (e.g.,</w:t>
      </w:r>
      <w:r>
        <w:t xml:space="preserve"> </w:t>
      </w:r>
      <w:r>
        <w:rPr>
          <w:rStyle w:val="VerbatimChar"/>
        </w:rPr>
        <w:t xml:space="preserve">VERIFY_DILITHIUM</w:t>
      </w:r>
      <w:r>
        <w:t xml:space="preserve">).</w:t>
      </w:r>
    </w:p>
    <w:p>
      <w:pPr>
        <w:pStyle w:val="FirstParagraph"/>
      </w:pPr>
      <w:r>
        <w:t xml:space="preserve">The IR uses Static Single Assignment (SSA) form to avoid</w:t>
      </w:r>
      <w:r>
        <w:t xml:space="preserve"> </w:t>
      </w:r>
      <w:r>
        <w:t xml:space="preserve">mutable variables and to simplify gas accounting. Appendix C</w:t>
      </w:r>
      <w:r>
        <w:t xml:space="preserve"> </w:t>
      </w:r>
      <w:r>
        <w:t xml:space="preserve">lists all opcodes and their semantics.</w:t>
      </w:r>
    </w:p>
    <w:bookmarkEnd w:id="21"/>
    <w:bookmarkStart w:id="22" w:name="bytecode-format-instruction-set"/>
    <w:p>
      <w:pPr>
        <w:pStyle w:val="Heading2"/>
      </w:pPr>
      <w:r>
        <w:t xml:space="preserve">6.3 Bytecode Format &amp; Instruction Set</w:t>
      </w:r>
    </w:p>
    <w:p>
      <w:pPr>
        <w:pStyle w:val="FirstParagraph"/>
      </w:pPr>
      <w:r>
        <w:t xml:space="preserve">Bytecode is a sequence of 1‑byte opcodes followed by</w:t>
      </w:r>
      <w:r>
        <w:t xml:space="preserve"> </w:t>
      </w:r>
      <w:r>
        <w:t xml:space="preserve">operands encoded in little‑endian. Each contract has a</w:t>
      </w:r>
      <w:r>
        <w:t xml:space="preserve"> </w:t>
      </w:r>
      <w:r>
        <w:t xml:space="preserve">fixed entry point (offset 0). The VM interprets</w:t>
      </w:r>
      <w:r>
        <w:t xml:space="preserve"> </w:t>
      </w:r>
      <w:r>
        <w:t xml:space="preserve">instructions sequentially. Gas is deducted per</w:t>
      </w:r>
      <w:r>
        <w:t xml:space="preserve"> </w:t>
      </w:r>
      <w:r>
        <w:t xml:space="preserve">instruction based on a schedule similar to Ethereum but</w:t>
      </w:r>
      <w:r>
        <w:t xml:space="preserve"> </w:t>
      </w:r>
      <w:r>
        <w:t xml:space="preserve">augmented for PQC operations.</w:t>
      </w:r>
    </w:p>
    <w:p>
      <w:pPr>
        <w:pStyle w:val="BodyText"/>
      </w:pPr>
      <w:r>
        <w:t xml:space="preserve">Custom opcodes for PQC operations include: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OP_VERIFY_DILITHIUM_L</w:t>
      </w:r>
      <w:r>
        <w:t xml:space="preserve">: verify a Dilithium signature at</w:t>
      </w:r>
      <w:r>
        <w:t xml:space="preserve"> </w:t>
      </w:r>
      <w:r>
        <w:t xml:space="preserve">level</w:t>
      </w:r>
      <w:r>
        <w:t xml:space="preserve"> </w:t>
      </w:r>
      <w:r>
        <w:rPr>
          <w:rStyle w:val="VerbatimChar"/>
        </w:rPr>
        <w:t xml:space="preserve">L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OP_VERIFY_FALCON_N</w:t>
      </w:r>
      <w:r>
        <w:t xml:space="preserve">: verify a Falcon signature at</w:t>
      </w:r>
      <w:r>
        <w:t xml:space="preserve"> </w:t>
      </w:r>
      <w:r>
        <w:t xml:space="preserve">parameter</w:t>
      </w:r>
      <w:r>
        <w:t xml:space="preserve"> </w:t>
      </w:r>
      <w:r>
        <w:rPr>
          <w:rStyle w:val="VerbatimChar"/>
        </w:rPr>
        <w:t xml:space="preserve">N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OP_KYBER_ENCAP_K</w:t>
      </w:r>
      <w:r>
        <w:t xml:space="preserve">: encapsulate a Kyber key at dimension</w:t>
      </w:r>
      <w:r>
        <w:t xml:space="preserve"> </w:t>
      </w:r>
      <w:r>
        <w:rPr>
          <w:rStyle w:val="VerbatimChar"/>
        </w:rPr>
        <w:t xml:space="preserve">K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OP_KYBER_DECAP_K</w:t>
      </w:r>
      <w:r>
        <w:t xml:space="preserve">: decapsulate a Kyber ciphertext.</w:t>
      </w:r>
    </w:p>
    <w:p>
      <w:pPr>
        <w:pStyle w:val="FirstParagraph"/>
      </w:pPr>
      <w:r>
        <w:t xml:space="preserve">The VM ensures that only well‑formed opcodes are executed.</w:t>
      </w:r>
      <w:r>
        <w:t xml:space="preserve"> </w:t>
      </w:r>
      <w:r>
        <w:t xml:space="preserve">Unknown opcodes result in an immediate revert.</w:t>
      </w:r>
    </w:p>
    <w:bookmarkEnd w:id="22"/>
    <w:bookmarkStart w:id="23" w:name="virtual-machine-architecture"/>
    <w:p>
      <w:pPr>
        <w:pStyle w:val="Heading2"/>
      </w:pPr>
      <w:r>
        <w:t xml:space="preserve">6.4 Virtual Machine Architecture</w:t>
      </w:r>
    </w:p>
    <w:p>
      <w:pPr>
        <w:pStyle w:val="FirstParagraph"/>
      </w:pPr>
      <w:r>
        <w:t xml:space="preserve">The SynQ VM consists of the following components: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Stack:</w:t>
      </w:r>
      <w:r>
        <w:t xml:space="preserve"> </w:t>
      </w:r>
      <w:r>
        <w:t xml:space="preserve">holds call frames and function arguments.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Memory:</w:t>
      </w:r>
      <w:r>
        <w:t xml:space="preserve"> </w:t>
      </w:r>
      <w:r>
        <w:t xml:space="preserve">a linear, byte‑addressable array for local</w:t>
      </w:r>
      <w:r>
        <w:t xml:space="preserve"> </w:t>
      </w:r>
      <w:r>
        <w:t xml:space="preserve">variables and dynamic allocations. Memory is cleared at</w:t>
      </w:r>
      <w:r>
        <w:t xml:space="preserve"> </w:t>
      </w:r>
      <w:r>
        <w:t xml:space="preserve">the end of each call.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Storage:</w:t>
      </w:r>
      <w:r>
        <w:t xml:space="preserve"> </w:t>
      </w:r>
      <w:r>
        <w:t xml:space="preserve">persistent key‑value store shared across</w:t>
      </w:r>
      <w:r>
        <w:t xml:space="preserve"> </w:t>
      </w:r>
      <w:r>
        <w:t xml:space="preserve">calls (§2.8).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Program Counter (PC):</w:t>
      </w:r>
      <w:r>
        <w:t xml:space="preserve"> </w:t>
      </w:r>
      <w:r>
        <w:t xml:space="preserve">points to the next instruction.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Gas Counter:</w:t>
      </w:r>
      <w:r>
        <w:t xml:space="preserve"> </w:t>
      </w:r>
      <w:r>
        <w:t xml:space="preserve">tracks the remaining gas. When it</w:t>
      </w:r>
      <w:r>
        <w:t xml:space="preserve"> </w:t>
      </w:r>
      <w:r>
        <w:t xml:space="preserve">reaches zero, the VM aborts and reverts.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Precompile Dispatch Table:</w:t>
      </w:r>
      <w:r>
        <w:t xml:space="preserve"> </w:t>
      </w:r>
      <w:r>
        <w:t xml:space="preserve">maps PQC opcodes to</w:t>
      </w:r>
      <w:r>
        <w:t xml:space="preserve"> </w:t>
      </w:r>
      <w:r>
        <w:t xml:space="preserve">native implementations.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Syscall Interface:</w:t>
      </w:r>
      <w:r>
        <w:t xml:space="preserve"> </w:t>
      </w:r>
      <w:r>
        <w:t xml:space="preserve">allows calls to system contracts</w:t>
      </w:r>
      <w:r>
        <w:t xml:space="preserve"> </w:t>
      </w:r>
      <w:r>
        <w:t xml:space="preserve">(§5.6) and external messaging services.</w:t>
      </w:r>
    </w:p>
    <w:p>
      <w:pPr>
        <w:pStyle w:val="FirstParagraph"/>
      </w:pPr>
      <w:r>
        <w:t xml:space="preserve">The VM is deterministic; all node implementations must</w:t>
      </w:r>
      <w:r>
        <w:t xml:space="preserve"> </w:t>
      </w:r>
      <w:r>
        <w:t xml:space="preserve">produce identical results when executing the same bytecode</w:t>
      </w:r>
      <w:r>
        <w:t xml:space="preserve"> </w:t>
      </w:r>
      <w:r>
        <w:t xml:space="preserve">with the same inputs.</w:t>
      </w:r>
    </w:p>
    <w:bookmarkEnd w:id="23"/>
    <w:bookmarkStart w:id="24" w:name="precompiled-modules-pqc-hooks"/>
    <w:p>
      <w:pPr>
        <w:pStyle w:val="Heading2"/>
      </w:pPr>
      <w:r>
        <w:t xml:space="preserve">6.5 Precompiled Modules &amp; PQC Hooks</w:t>
      </w:r>
    </w:p>
    <w:p>
      <w:pPr>
        <w:pStyle w:val="FirstParagraph"/>
      </w:pPr>
      <w:r>
        <w:t xml:space="preserve">PQC operations are implemented as native functions invoked</w:t>
      </w:r>
      <w:r>
        <w:t xml:space="preserve"> </w:t>
      </w:r>
      <w:r>
        <w:t xml:space="preserve">via precompile opcodes. The VM passes the input pointers</w:t>
      </w:r>
      <w:r>
        <w:t xml:space="preserve"> </w:t>
      </w:r>
      <w:r>
        <w:t xml:space="preserve">and lengths to the precompile, deducts gas according to</w:t>
      </w:r>
      <w:r>
        <w:t xml:space="preserve"> </w:t>
      </w:r>
      <w:r>
        <w:t xml:space="preserve">§3.6, and writes the result back into memory. For</w:t>
      </w:r>
      <w:r>
        <w:t xml:space="preserve"> </w:t>
      </w:r>
      <w:r>
        <w:t xml:space="preserve">example,</w:t>
      </w:r>
      <w:r>
        <w:t xml:space="preserve"> </w:t>
      </w:r>
      <w:r>
        <w:rPr>
          <w:rStyle w:val="VerbatimChar"/>
        </w:rPr>
        <w:t xml:space="preserve">OP_VERIFY_DILITHIUM_3</w:t>
      </w:r>
      <w:r>
        <w:t xml:space="preserve"> </w:t>
      </w:r>
      <w:r>
        <w:t xml:space="preserve">checks a signature at</w:t>
      </w:r>
      <w:r>
        <w:t xml:space="preserve"> </w:t>
      </w:r>
      <w:r>
        <w:t xml:space="preserve">level 3 using the hardware accelerator if available.</w:t>
      </w:r>
    </w:p>
    <w:p>
      <w:pPr>
        <w:pStyle w:val="BodyText"/>
      </w:pPr>
      <w:r>
        <w:t xml:space="preserve">Precompiles are stateless; they do not read or modify</w:t>
      </w:r>
      <w:r>
        <w:t xml:space="preserve"> </w:t>
      </w:r>
      <w:r>
        <w:t xml:space="preserve">contract storage. They may, however, emit audit logs</w:t>
      </w:r>
      <w:r>
        <w:t xml:space="preserve"> </w:t>
      </w:r>
      <w:r>
        <w:t xml:space="preserve">recording gas consumption and success or failure (§8.5).</w:t>
      </w:r>
    </w:p>
    <w:bookmarkEnd w:id="24"/>
    <w:bookmarkStart w:id="25" w:name="gas-metering-execution-cycle"/>
    <w:p>
      <w:pPr>
        <w:pStyle w:val="Heading2"/>
      </w:pPr>
      <w:r>
        <w:t xml:space="preserve">6.6 Gas Metering &amp; Execution Cycle</w:t>
      </w:r>
    </w:p>
    <w:p>
      <w:pPr>
        <w:pStyle w:val="FirstParagraph"/>
      </w:pPr>
      <w:r>
        <w:t xml:space="preserve">Gas costs are specified in a schedule distributed with</w:t>
      </w:r>
      <w:r>
        <w:t xml:space="preserve"> </w:t>
      </w:r>
      <w:r>
        <w:t xml:space="preserve">network clients. During execution, the VM deducts gas per</w:t>
      </w:r>
      <w:r>
        <w:t xml:space="preserve"> </w:t>
      </w:r>
      <w:r>
        <w:t xml:space="preserve">instruction and per precompile call. If the gas counter</w:t>
      </w:r>
      <w:r>
        <w:t xml:space="preserve"> </w:t>
      </w:r>
      <w:r>
        <w:t xml:space="preserve">drops below zero, the VM throws an out‑of‑gas exception and</w:t>
      </w:r>
      <w:r>
        <w:t xml:space="preserve"> </w:t>
      </w:r>
      <w:r>
        <w:t xml:space="preserve">reverts the call. The transaction is charged for gas</w:t>
      </w:r>
      <w:r>
        <w:t xml:space="preserve"> </w:t>
      </w:r>
      <w:r>
        <w:t xml:space="preserve">consumed up to the failure point.</w:t>
      </w:r>
    </w:p>
    <w:p>
      <w:pPr>
        <w:pStyle w:val="BodyText"/>
      </w:pPr>
      <w:r>
        <w:t xml:space="preserve">Developers can query the current gas price and limits via</w:t>
      </w:r>
      <w:r>
        <w:t xml:space="preserve"> </w:t>
      </w:r>
      <w:r>
        <w:t xml:space="preserve">system contracts (§5.6) and adjust their budgets accordingly.</w:t>
      </w:r>
    </w:p>
    <w:bookmarkEnd w:id="25"/>
    <w:bookmarkStart w:id="26" w:name="hardware-acceleration-integration"/>
    <w:p>
      <w:pPr>
        <w:pStyle w:val="Heading2"/>
      </w:pPr>
      <w:r>
        <w:t xml:space="preserve">6.7 Hardware Acceleration Integration</w:t>
      </w:r>
    </w:p>
    <w:p>
      <w:pPr>
        <w:pStyle w:val="FirstParagraph"/>
      </w:pPr>
      <w:r>
        <w:t xml:space="preserve">Nodes may optionally include hardware accelerators for PQC</w:t>
      </w:r>
      <w:r>
        <w:t xml:space="preserve"> </w:t>
      </w:r>
      <w:r>
        <w:t xml:space="preserve">operations (e.g., ASICs, FPGAs, Trusted Platform Modules).</w:t>
      </w:r>
      <w:r>
        <w:t xml:space="preserve"> </w:t>
      </w:r>
      <w:r>
        <w:t xml:space="preserve">Functions annotated with</w:t>
      </w:r>
      <w:r>
        <w:t xml:space="preserve"> </w:t>
      </w:r>
      <w:r>
        <w:rPr>
          <w:rStyle w:val="VerbatimChar"/>
        </w:rPr>
        <w:t xml:space="preserve">@hardware_accel</w:t>
      </w:r>
      <w:r>
        <w:t xml:space="preserve"> </w:t>
      </w:r>
      <w:r>
        <w:t xml:space="preserve">will route</w:t>
      </w:r>
      <w:r>
        <w:t xml:space="preserve"> </w:t>
      </w:r>
      <w:r>
        <w:t xml:space="preserve">precompiles through the accelerator. If hardware is</w:t>
      </w:r>
      <w:r>
        <w:t xml:space="preserve"> </w:t>
      </w:r>
      <w:r>
        <w:t xml:space="preserve">unavailable or disabled, the VM falls back to software</w:t>
      </w:r>
      <w:r>
        <w:t xml:space="preserve"> </w:t>
      </w:r>
      <w:r>
        <w:t xml:space="preserve">implementations. Hardware must be certified to produce</w:t>
      </w:r>
      <w:r>
        <w:t xml:space="preserve"> </w:t>
      </w:r>
      <w:r>
        <w:t xml:space="preserve">identical results to the reference implementation.</w:t>
      </w:r>
    </w:p>
    <w:bookmarkEnd w:id="26"/>
    <w:bookmarkStart w:id="27" w:name="upgrades-governance"/>
    <w:p>
      <w:pPr>
        <w:pStyle w:val="Heading2"/>
      </w:pPr>
      <w:r>
        <w:t xml:space="preserve">6.8 Upgrades &amp; Governance</w:t>
      </w:r>
    </w:p>
    <w:p>
      <w:pPr>
        <w:pStyle w:val="FirstParagraph"/>
      </w:pPr>
      <w:r>
        <w:t xml:space="preserve">The VM’s opcode set, gas schedule, and precompiled</w:t>
      </w:r>
      <w:r>
        <w:t xml:space="preserve"> </w:t>
      </w:r>
      <w:r>
        <w:t xml:space="preserve">functions can be upgraded via on‑chain governance. A</w:t>
      </w:r>
      <w:r>
        <w:t xml:space="preserve"> </w:t>
      </w:r>
      <w:r>
        <w:t xml:space="preserve">proposal must specify the changes, include formal proofs of</w:t>
      </w:r>
      <w:r>
        <w:t xml:space="preserve"> </w:t>
      </w:r>
      <w:r>
        <w:t xml:space="preserve">correctness where applicable, and provide an audit report.</w:t>
      </w:r>
      <w:r>
        <w:t xml:space="preserve"> </w:t>
      </w:r>
      <w:r>
        <w:t xml:space="preserve">Upgrades are versioned and backward‑compatible; contracts</w:t>
      </w:r>
      <w:r>
        <w:t xml:space="preserve"> </w:t>
      </w:r>
      <w:r>
        <w:t xml:space="preserve">compiled against older VM versions continue to run.</w:t>
      </w:r>
    </w:p>
    <w:bookmarkEnd w:id="27"/>
    <w:bookmarkStart w:id="28" w:name="developer-tooling-cli-integration"/>
    <w:p>
      <w:pPr>
        <w:pStyle w:val="Heading2"/>
      </w:pPr>
      <w:r>
        <w:t xml:space="preserve">6.9 Developer Tooling &amp; CLI Integration</w:t>
      </w:r>
    </w:p>
    <w:p>
      <w:pPr>
        <w:pStyle w:val="FirstParagraph"/>
      </w:pPr>
      <w:r>
        <w:t xml:space="preserve">The SynQ CLI (</w:t>
      </w:r>
      <w:r>
        <w:rPr>
          <w:rStyle w:val="VerbatimChar"/>
        </w:rPr>
        <w:t xml:space="preserve">synq</w:t>
      </w:r>
      <w:r>
        <w:t xml:space="preserve">) orchestrates compilation, testing,</w:t>
      </w:r>
      <w:r>
        <w:t xml:space="preserve"> </w:t>
      </w:r>
      <w:r>
        <w:t xml:space="preserve">deployment, and interaction: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synq compile</w:t>
      </w:r>
      <w:r>
        <w:t xml:space="preserve">: compile a</w:t>
      </w:r>
      <w:r>
        <w:t xml:space="preserve"> </w:t>
      </w:r>
      <w:r>
        <w:rPr>
          <w:rStyle w:val="VerbatimChar"/>
        </w:rPr>
        <w:t xml:space="preserve">.sq</w:t>
      </w:r>
      <w:r>
        <w:t xml:space="preserve"> </w:t>
      </w:r>
      <w:r>
        <w:t xml:space="preserve">file to bytecode and</w:t>
      </w:r>
      <w:r>
        <w:t xml:space="preserve"> </w:t>
      </w:r>
      <w:r>
        <w:t xml:space="preserve">emit an ABI description.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synq deploy</w:t>
      </w:r>
      <w:r>
        <w:t xml:space="preserve">: deploy compiled bytecode to a target</w:t>
      </w:r>
      <w:r>
        <w:t xml:space="preserve"> </w:t>
      </w:r>
      <w:r>
        <w:t xml:space="preserve">network, optionally broadcasting a PQC‑signed transaction.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synq call</w:t>
      </w:r>
      <w:r>
        <w:t xml:space="preserve">: invoke a contract function with</w:t>
      </w:r>
      <w:r>
        <w:t xml:space="preserve"> </w:t>
      </w:r>
      <w:r>
        <w:t xml:space="preserve">arguments encoded per the ABI (§13).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synq gas</w:t>
      </w:r>
      <w:r>
        <w:t xml:space="preserve">: estimate gas consumption for a given call and</w:t>
      </w:r>
      <w:r>
        <w:t xml:space="preserve"> </w:t>
      </w:r>
      <w:r>
        <w:t xml:space="preserve">display a breakdown (base, data, compute).</w:t>
      </w:r>
    </w:p>
    <w:p>
      <w:pPr>
        <w:pStyle w:val="FirstParagraph"/>
      </w:pPr>
      <w:r>
        <w:t xml:space="preserve">Integrated language servers provide syntax highlighting,</w:t>
      </w:r>
      <w:r>
        <w:t xml:space="preserve"> </w:t>
      </w:r>
      <w:r>
        <w:t xml:space="preserve">auto‑completion, and static analysis within popular IDEs.</w:t>
      </w:r>
      <w:r>
        <w:t xml:space="preserve"> </w:t>
      </w:r>
      <w:r>
        <w:t xml:space="preserve">The SDK (§8.2) wraps these commands for programmatic use.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2025-10-18T01:19:33Z</dcterms:created>
  <dcterms:modified xsi:type="dcterms:W3CDTF">2025-10-18T01:19:33Z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