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0A0F2C"/>
          <w:sz w:val="72"/>
          <w:szCs w:val="72"/>
        </w:rPr>
        <w:t xml:space="preserve">Token Economics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0060FF"/>
          <w:sz w:val="32"/>
          <w:szCs w:val="32"/>
        </w:rPr>
        <w:t xml:space="preserve">Synergy Network</w:t>
      </w:r>
    </w:p>
    <w:p>
      <w:pPr>
        <w:pBdr>
          <w:bottom w:val="single" w:color="CCCCCC" w:sz="4" w:space="4"/>
        </w:pBdr>
        <w:spacing w:before="160" w:after="160"/>
      </w:pP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1. Overview</w:t>
      </w:r>
    </w:p>
    <w:p>
      <w:pPr>
        <w:pStyle w:val="Normal"/>
      </w:pPr>
      <w:r>
        <w:rPr>
          <w:rFonts w:ascii="Arial" w:cs="Arial" w:eastAsia="Arial" w:hAnsi="Arial"/>
        </w:rPr>
        <w:t xml:space="preserve">The Synergy Token (SYN) is the native utility token of the Synergy Network, powering everything from transactions and smart contracts to staking, governance, and reward mechanisms.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2. Token Specifications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 Name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 Token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Symbol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Supply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12,000,000,000 (12 billion)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Decimals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Network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Synergy Network (Mainnet + Testnet)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Contract Type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PoSy-Extended ERC-20 (custom staking and governance logic)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3. Use Cases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Transaction Fees:</w:t>
      </w:r>
      <w:r>
        <w:rPr>
          <w:rFonts w:ascii="Arial" w:cs="Arial" w:eastAsia="Arial" w:hAnsi="Arial"/>
          <w:sz w:val="22"/>
          <w:szCs w:val="22"/>
        </w:rPr>
        <w:t xml:space="preserve"> Gas for sending funds and interacting with contracts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Staking:</w:t>
      </w:r>
      <w:r>
        <w:rPr>
          <w:rFonts w:ascii="Arial" w:cs="Arial" w:eastAsia="Arial" w:hAnsi="Arial"/>
          <w:sz w:val="22"/>
          <w:szCs w:val="22"/>
        </w:rPr>
        <w:t xml:space="preserve"> Required for validators and delegators to secure the network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Governance:</w:t>
      </w:r>
      <w:r>
        <w:rPr>
          <w:rFonts w:ascii="Arial" w:cs="Arial" w:eastAsia="Arial" w:hAnsi="Arial"/>
          <w:sz w:val="22"/>
          <w:szCs w:val="22"/>
        </w:rPr>
        <w:t xml:space="preserve"> Used for voting on DAO proposals, treasury allocation, and upgrades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Identity Mapping:</w:t>
      </w:r>
      <w:r>
        <w:rPr>
          <w:rFonts w:ascii="Arial" w:cs="Arial" w:eastAsia="Arial" w:hAnsi="Arial"/>
          <w:sz w:val="22"/>
          <w:szCs w:val="22"/>
        </w:rPr>
        <w:t xml:space="preserve"> Ties to SNS and UMA registration/renewal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Incentives:</w:t>
      </w:r>
      <w:r>
        <w:rPr>
          <w:rFonts w:ascii="Arial" w:cs="Arial" w:eastAsia="Arial" w:hAnsi="Arial"/>
          <w:sz w:val="22"/>
          <w:szCs w:val="22"/>
        </w:rPr>
        <w:t xml:space="preserve"> Distributed to contributors, builders, liquidity providers, and cluster optimizers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4. Supply Distribution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2000"/>
        <w:gridCol w:w="2000"/>
      </w:tblGrid>
      <w:tr>
        <w:trPr>
          <w:tblHeader/>
        </w:trP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Allocation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Vesting Schedule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Validator Rewards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3,600,000,000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Emitted gradually over 10 yrs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Ecosystem Development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3,000,000,000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DAO-controlled treasury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Community &amp; Airdrops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1,200,000,000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Various campaign releases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 &amp; Founding Members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1,200,000,000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4-year vesting, 6-mo cliff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Pre-Sale &amp; Public Sale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1,800,000,000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sale stages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Reserve &amp; Emergency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1,200,000,000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Multi-sig treasury lock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5. Inflation and Deflation Mechanics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Staking Inflation:</w:t>
      </w:r>
      <w:r>
        <w:rPr>
          <w:rFonts w:ascii="Arial" w:cs="Arial" w:eastAsia="Arial" w:hAnsi="Arial"/>
          <w:sz w:val="22"/>
          <w:szCs w:val="22"/>
        </w:rPr>
        <w:t xml:space="preserve"> Validator and delegator rewards introduce mild inflation (~2–5% yearly)</w:t>
      </w: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Deflationary Measures: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% of transaction fees are burned (dynamic burn rate)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Penalties/slashing remove SYN from supply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Expired SNS/UMA names unclaimed within grace period are subject to token burn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6. Economic Alignment Mechanisms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Synergy Points Integration:</w:t>
      </w:r>
      <w:r>
        <w:rPr>
          <w:rFonts w:ascii="Arial" w:cs="Arial" w:eastAsia="Arial" w:hAnsi="Arial"/>
          <w:sz w:val="22"/>
          <w:szCs w:val="22"/>
        </w:rPr>
        <w:t xml:space="preserve"> Rewards are weighted by contribution score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Governance Voting Boosts:</w:t>
      </w:r>
      <w:r>
        <w:rPr>
          <w:rFonts w:ascii="Arial" w:cs="Arial" w:eastAsia="Arial" w:hAnsi="Arial"/>
          <w:sz w:val="22"/>
          <w:szCs w:val="22"/>
        </w:rPr>
        <w:t xml:space="preserve"> High SP scores magnify governance influence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Long-Term Holding Incentives:</w:t>
      </w:r>
      <w:r>
        <w:rPr>
          <w:rFonts w:ascii="Arial" w:cs="Arial" w:eastAsia="Arial" w:hAnsi="Arial"/>
          <w:sz w:val="22"/>
          <w:szCs w:val="22"/>
        </w:rPr>
        <w:t xml:space="preserve"> Lockups for early supporters grant bonus multipliers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7. DAO Treasury Role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Manages 25% ecosystem fund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Funds are disbursed via community proposal and Synergy Score voting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Treasury is audited and monitored on-chain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Can adjust burn rates, inflation caps, and staking rewards through governance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8. Pre-Sale Mechanics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15 sale stages, each with fixed allocation and price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Early stages offer highest discount and longest vesting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Unsold tokens roll into DAO treasury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9. Token Utility Outlook</w:t>
      </w:r>
    </w:p>
    <w:p>
      <w:pPr>
        <w:pStyle w:val="Normal"/>
      </w:pPr>
      <w:r>
        <w:rPr>
          <w:rFonts w:ascii="Arial" w:cs="Arial" w:eastAsia="Arial" w:hAnsi="Arial"/>
        </w:rPr>
        <w:t xml:space="preserve">Future expansion into: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Real-world utility payments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In-game and metaverse integrations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Governance across interoperable bridge chains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10. Conclusion</w:t>
      </w:r>
    </w:p>
    <w:p>
      <w:pPr>
        <w:pStyle w:val="Normal"/>
      </w:pPr>
      <w:r>
        <w:rPr>
          <w:rFonts w:ascii="Arial" w:cs="Arial" w:eastAsia="Arial" w:hAnsi="Arial"/>
        </w:rPr>
        <w:t xml:space="preserve">SYN tokenomics is designed to promote long-term sustainability, fair participation, and decentralized governance. Through thoughtful distribution, rewards-based inflation, and dynamic deflation, SYN remains a powerful driver of Synergy Network's cooperative economy.</w:t>
      </w:r>
    </w:p>
    <w:sectPr>
      <w:headerReference w:type="default" r:id="rId6"/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© 2025 Synergy Network. Confidential.</w:t>
    </w:r>
    <w:r>
      <w:rPr>
        <w:rFonts w:ascii="Arial" w:cs="Arial" w:eastAsia="Arial" w:hAnsi="Arial"/>
        <w:color w:val="4A5568"/>
        <w:sz w:val="16"/>
        <w:szCs w:val="16"/>
      </w:rPr>
      <w:t xml:space="preserve">    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0FF" w:sz="4" w:space="4"/>
      </w:pBdr>
      <w:spacing w:after="80"/>
    </w:pPr>
    <w:r>
      <w:rPr>
        <w:rFonts w:ascii="Arial" w:cs="Arial" w:eastAsia="Arial" w:hAnsi="Arial"/>
        <w:b/>
        <w:bCs/>
        <w:color w:val="0060FF"/>
        <w:sz w:val="16"/>
        <w:szCs w:val="16"/>
      </w:rPr>
      <w:t xml:space="preserve">SYNERGY NETWORK</w:t>
    </w:r>
    <w:r>
      <w:rPr>
        <w:rFonts w:ascii="Arial" w:cs="Arial" w:eastAsia="Arial" w:hAnsi="Arial"/>
        <w:color w:val="4A5568"/>
        <w:sz w:val="16"/>
        <w:szCs w:val="16"/>
      </w:rPr>
      <w:t xml:space="preserve">    Token Economics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spacing w:after="80"/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60FF" w:sz="6" w:space="6"/>
      </w:pBdr>
      <w:spacing w:before="480" w:after="160"/>
      <w:outlineLvl w:val="0"/>
    </w:pPr>
    <w:rPr>
      <w:rFonts w:ascii="Arial" w:cs="Arial" w:eastAsia="Arial" w:hAnsi="Arial"/>
      <w:b/>
      <w:bCs/>
      <w:color w:val="0A0F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0A0F2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060FF"/>
      <w:sz w:val="24"/>
      <w:szCs w:val="24"/>
    </w:rPr>
  </w:style>
  <w:style w:type="paragraph" w:styleId="Normal">
    <w:name w:val="Normal"/>
    <w:qFormat/>
    <w:pPr>
      <w:spacing w:after="160" w:line="276" w:lineRule="auto"/>
    </w:pPr>
    <w:rPr>
      <w:rFonts w:ascii="Arial" w:cs="Arial" w:eastAsia="Arial" w:hAnsi="Arial"/>
      <w:color w:val="1A1A2E"/>
      <w:sz w:val="22"/>
      <w:szCs w:val="22"/>
    </w:rPr>
  </w:style>
  <w:style w:type="paragraph" w:styleId="BlockQuote">
    <w:name w:val="Block Quote"/>
    <w:basedOn w:val="Normal"/>
    <w:pPr>
      <w:pBdr>
        <w:left w:val="single" w:color="0060FF" w:sz="12" w:space="12"/>
      </w:pBdr>
      <w:spacing w:after="160" w:line="276"/>
      <w:ind w:left="720" w:right="360"/>
    </w:pPr>
    <w:rPr>
      <w:rFonts w:ascii="Arial" w:cs="Arial" w:eastAsia="Arial" w:hAnsi="Arial"/>
      <w:i/>
      <w:i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2026-03-13T19:20:55.576Z</dcterms:created>
  <dcterms:modified xsi:type="dcterms:W3CDTF">2026-03-13T19:20:55.576Z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