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Wallet Technical Specification</w:t>
      </w:r>
    </w:p>
    <w:p>
      <w:pPr>
        <w:spacing w:before="0" w:after="480"/>
        <w:jc w:val="center"/>
      </w:pPr>
      <w:r>
        <w:rPr>
          <w:rFonts w:ascii="Arial" w:cs="Arial" w:eastAsia="Arial" w:hAnsi="Arial"/>
          <w:color w:val="0060FF"/>
          <w:sz w:val="32"/>
          <w:szCs w:val="32"/>
        </w:rPr>
        <w:t xml:space="preserve">Version 3.0 · February 2026</w:t>
      </w:r>
    </w:p>
    <w:p>
      <w:pPr>
        <w:pBdr>
          <w:bottom w:val="single" w:color="CCCCCC" w:sz="4" w:space="4"/>
        </w:pBdr>
        <w:spacing w:before="160" w:after="160"/>
      </w:pPr>
    </w:p>
    <w:p>
      <w:pPr>
        <w:spacing w:after="80"/>
      </w:pPr>
      <w:r>
        <w:t xml:space="preserve"/>
      </w:r>
    </w:p>
    <w:p>
      <w:pPr>
        <w:pStyle w:val="Normal"/>
      </w:pPr>
      <w:r>
        <w:rPr>
          <w:rFonts w:ascii="Arial" w:cs="Arial" w:eastAsia="Arial" w:hAnsi="Arial"/>
        </w:rPr>
        <w:t xml:space="preserve">CONFIDENTIAL — PATENT-SENSITIVE MATERIAL. Not for public distribution prior to formal IP filing.</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Canonical Design Principles</w:t>
      </w:r>
    </w:p>
    <w:p>
      <w:pPr>
        <w:pStyle w:val="Heading2"/>
      </w:pPr>
      <w:r>
        <w:rPr>
          <w:rFonts w:ascii="Arial" w:cs="Arial" w:eastAsia="Arial" w:hAnsi="Arial"/>
        </w:rPr>
        <w:t xml:space="preserve">A — SXCP North Star (Bridgeless)</w:t>
      </w:r>
    </w:p>
    <w:p>
      <w:pPr>
        <w:pStyle w:val="ListParagraph"/>
        <w:numPr>
          <w:ilvl w:val="0"/>
          <w:numId w:val="2"/>
        </w:numPr>
      </w:pPr>
      <w:r>
        <w:rPr>
          <w:rFonts w:ascii="Arial" w:cs="Arial" w:eastAsia="Arial" w:hAnsi="Arial"/>
          <w:sz w:val="22"/>
          <w:szCs w:val="22"/>
        </w:rPr>
        <w:t xml:space="preserve">SXCP never executes transactions; it only coordinates execution that happens elsewhere.</w:t>
      </w:r>
    </w:p>
    <w:p>
      <w:pPr>
        <w:pStyle w:val="ListParagraph"/>
        <w:numPr>
          <w:ilvl w:val="0"/>
          <w:numId w:val="2"/>
        </w:numPr>
      </w:pPr>
      <w:r>
        <w:rPr>
          <w:rFonts w:ascii="Arial" w:cs="Arial" w:eastAsia="Arial" w:hAnsi="Arial"/>
          <w:sz w:val="22"/>
          <w:szCs w:val="22"/>
        </w:rPr>
        <w:t xml:space="preserve">Source-chain execution occurs natively; destination-chain execution occurs natively.</w:t>
      </w:r>
    </w:p>
    <w:p>
      <w:pPr>
        <w:pStyle w:val="ListParagraph"/>
        <w:numPr>
          <w:ilvl w:val="0"/>
          <w:numId w:val="2"/>
        </w:numPr>
      </w:pPr>
      <w:r>
        <w:rPr>
          <w:rFonts w:ascii="Arial" w:cs="Arial" w:eastAsia="Arial" w:hAnsi="Arial"/>
          <w:sz w:val="22"/>
          <w:szCs w:val="22"/>
        </w:rPr>
        <w:t xml:space="preserve">SXCP is bridgeless: no intermediate custody domain (no pooled vaults, no mint/release wrappers, no synthetic representations).</w:t>
      </w:r>
    </w:p>
    <w:p>
      <w:pPr>
        <w:pStyle w:val="ListParagraph"/>
        <w:numPr>
          <w:ilvl w:val="0"/>
          <w:numId w:val="2"/>
        </w:numPr>
      </w:pPr>
      <w:r>
        <w:rPr>
          <w:rFonts w:ascii="Arial" w:cs="Arial" w:eastAsia="Arial" w:hAnsi="Arial"/>
          <w:sz w:val="22"/>
          <w:szCs w:val="22"/>
        </w:rPr>
        <w:t xml:space="preserve">Threshold Attestation Mode attests to observed chain facts (finalization, inclusion, scope). It is not delegated execution.</w:t>
      </w:r>
    </w:p>
    <w:p>
      <w:pPr>
        <w:spacing w:after="80"/>
      </w:pPr>
      <w:r>
        <w:t xml:space="preserve"/>
      </w:r>
    </w:p>
    <w:p>
      <w:pPr>
        <w:pStyle w:val="Heading2"/>
      </w:pPr>
      <w:r>
        <w:rPr>
          <w:rFonts w:ascii="Arial" w:cs="Arial" w:eastAsia="Arial" w:hAnsi="Arial"/>
        </w:rPr>
        <w:t xml:space="preserve">B — Seed-Theft Resistance (Non-Negotiable)</w:t>
      </w:r>
    </w:p>
    <w:p>
      <w:pPr>
        <w:pStyle w:val="ListParagraph"/>
        <w:numPr>
          <w:ilvl w:val="0"/>
          <w:numId w:val="2"/>
        </w:numPr>
      </w:pPr>
      <w:r>
        <w:rPr>
          <w:rFonts w:ascii="Arial" w:cs="Arial" w:eastAsia="Arial" w:hAnsi="Arial"/>
          <w:sz w:val="22"/>
          <w:szCs w:val="22"/>
        </w:rPr>
        <w:t xml:space="preserve">Possession of a seed phrase (mnemonic) alone MUST be insufficient to spend or to complete wallet recovery.</w:t>
      </w:r>
    </w:p>
    <w:p>
      <w:pPr>
        <w:pStyle w:val="ListParagraph"/>
        <w:numPr>
          <w:ilvl w:val="0"/>
          <w:numId w:val="2"/>
        </w:numPr>
      </w:pPr>
      <w:r>
        <w:rPr>
          <w:rFonts w:ascii="Arial" w:cs="Arial" w:eastAsia="Arial" w:hAnsi="Arial"/>
          <w:sz w:val="22"/>
          <w:szCs w:val="22"/>
        </w:rPr>
        <w:t xml:space="preserve">The mnemonic is treated as one factor in a multi-factor authority construction (Factor-Bound Root Authority, §7.2.3).</w:t>
      </w:r>
    </w:p>
    <w:p>
      <w:pPr>
        <w:pStyle w:val="ListParagraph"/>
        <w:numPr>
          <w:ilvl w:val="0"/>
          <w:numId w:val="2"/>
        </w:numPr>
      </w:pPr>
      <w:r>
        <w:rPr>
          <w:rFonts w:ascii="Arial" w:cs="Arial" w:eastAsia="Arial" w:hAnsi="Arial"/>
          <w:sz w:val="22"/>
          <w:szCs w:val="22"/>
        </w:rPr>
        <w:t xml:space="preserve">The second factor (F2) must be high entropy, non-memorable, and not stored with the mnemonic.</w:t>
      </w:r>
    </w:p>
    <w:p>
      <w:pPr>
        <w:pStyle w:val="ListParagraph"/>
        <w:numPr>
          <w:ilvl w:val="0"/>
          <w:numId w:val="2"/>
        </w:numPr>
      </w:pPr>
      <w:r>
        <w:rPr>
          <w:rFonts w:ascii="Arial" w:cs="Arial" w:eastAsia="Arial" w:hAnsi="Arial"/>
          <w:sz w:val="22"/>
          <w:szCs w:val="22"/>
        </w:rPr>
        <w:t xml:space="preserve">All execution keys are derived from WRA = HKDF(MS ‖ F2), not from MS alone.</w:t>
      </w:r>
    </w:p>
    <w:p>
      <w:pPr>
        <w:spacing w:after="80"/>
      </w:pPr>
      <w:r>
        <w:t xml:space="preserve"/>
      </w:r>
    </w:p>
    <w:p>
      <w:pPr>
        <w:pStyle w:val="Heading2"/>
      </w:pPr>
      <w:r>
        <w:rPr>
          <w:rFonts w:ascii="Arial" w:cs="Arial" w:eastAsia="Arial" w:hAnsi="Arial"/>
        </w:rPr>
        <w:t xml:space="preserve">C — PQC Alignment (Aegis Authority Boundary)</w:t>
      </w:r>
    </w:p>
    <w:p>
      <w:pPr>
        <w:pStyle w:val="ListParagraph"/>
        <w:numPr>
          <w:ilvl w:val="0"/>
          <w:numId w:val="2"/>
        </w:numPr>
      </w:pPr>
      <w:r>
        <w:rPr>
          <w:rFonts w:ascii="Arial" w:cs="Arial" w:eastAsia="Arial" w:hAnsi="Arial"/>
          <w:sz w:val="22"/>
          <w:szCs w:val="22"/>
        </w:rPr>
        <w:t xml:space="preserve">Aegis governs all authoritative protocol roles: identity, routing governance, attestations, recovery receipts, and audit artifacts.</w:t>
      </w:r>
    </w:p>
    <w:p>
      <w:pPr>
        <w:pStyle w:val="ListParagraph"/>
        <w:numPr>
          <w:ilvl w:val="0"/>
          <w:numId w:val="2"/>
        </w:numPr>
      </w:pPr>
      <w:r>
        <w:rPr>
          <w:rFonts w:ascii="Arial" w:cs="Arial" w:eastAsia="Arial" w:hAnsi="Arial"/>
          <w:sz w:val="22"/>
          <w:szCs w:val="22"/>
        </w:rPr>
        <w:t xml:space="preserve">The platform baseline for authoritative signing artifacts is ML-DSA (FIPS 204). FN-DSA (FIPS 206) is permitted only where explicitly specified by role or policy.</w:t>
      </w:r>
    </w:p>
    <w:p>
      <w:pPr>
        <w:pStyle w:val="ListParagraph"/>
        <w:numPr>
          <w:ilvl w:val="0"/>
          <w:numId w:val="2"/>
        </w:numPr>
      </w:pPr>
      <w:r>
        <w:rPr>
          <w:rFonts w:ascii="Arial" w:cs="Arial" w:eastAsia="Arial" w:hAnsi="Arial"/>
          <w:sz w:val="22"/>
          <w:szCs w:val="22"/>
        </w:rPr>
        <w:t xml:space="preserve">External-chain execution remains canonical to each chain until that chain supports PQ verification.</w:t>
      </w:r>
    </w:p>
    <w:p>
      <w:pPr>
        <w:pStyle w:val="ListParagraph"/>
        <w:numPr>
          <w:ilvl w:val="0"/>
          <w:numId w:val="2"/>
        </w:numPr>
      </w:pPr>
      <w:r>
        <w:rPr>
          <w:rFonts w:ascii="Arial" w:cs="Arial" w:eastAsia="Arial" w:hAnsi="Arial"/>
          <w:sz w:val="22"/>
          <w:szCs w:val="22"/>
        </w:rPr>
        <w:t xml:space="preserve">No subsystem may silently substitute non-Aegis signature primitives for Aegis-governed roles.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0. Preface and Document Scope</w:t>
      </w:r>
    </w:p>
    <w:p>
      <w:pPr>
        <w:pStyle w:val="Heading2"/>
      </w:pPr>
      <w:r>
        <w:rPr>
          <w:rFonts w:ascii="Arial" w:cs="Arial" w:eastAsia="Arial" w:hAnsi="Arial"/>
        </w:rPr>
        <w:t xml:space="preserve">0.1 Purpose and Audience</w:t>
      </w:r>
    </w:p>
    <w:p>
      <w:pPr>
        <w:pStyle w:val="Normal"/>
      </w:pPr>
      <w:r>
        <w:rPr>
          <w:rFonts w:ascii="Arial" w:cs="Arial" w:eastAsia="Arial" w:hAnsi="Arial"/>
        </w:rPr>
        <w:t xml:space="preserve">This document is the canonical internal technical specification for the Synergy Wallet system. It supersedes and fully integrates all prior drafts, including V1 and V2 addenda. It serves simultaneously as an engineering reference for implementation and review, an architectural description for security and protocol analysis, and a disclosure substrate for provisional and non-provisional patent filings.</w:t>
      </w:r>
    </w:p>
    <w:p>
      <w:pPr>
        <w:spacing w:after="80"/>
      </w:pPr>
      <w:r>
        <w:t xml:space="preserve"/>
      </w:r>
    </w:p>
    <w:p>
      <w:pPr>
        <w:pStyle w:val="Heading2"/>
      </w:pPr>
      <w:r>
        <w:rPr>
          <w:rFonts w:ascii="Arial" w:cs="Arial" w:eastAsia="Arial" w:hAnsi="Arial"/>
        </w:rPr>
        <w:t xml:space="preserve">0.2 Disclosure Status and IP Considerations</w:t>
      </w:r>
    </w:p>
    <w:p>
      <w:pPr>
        <w:pStyle w:val="Normal"/>
      </w:pPr>
      <w:r>
        <w:rPr>
          <w:rFonts w:ascii="Arial" w:cs="Arial" w:eastAsia="Arial" w:hAnsi="Arial"/>
        </w:rPr>
        <w:t xml:space="preserve">This document is unredacted and contains system-level details that materially contribute to the novelty of the Synergy Wallet architecture. Public distribution prior to formal IP filing is not permitted.</w:t>
      </w:r>
    </w:p>
    <w:p>
      <w:pPr>
        <w:spacing w:after="80"/>
      </w:pPr>
      <w:r>
        <w:t xml:space="preserve"/>
      </w:r>
    </w:p>
    <w:p>
      <w:pPr>
        <w:pStyle w:val="Heading2"/>
      </w:pPr>
      <w:r>
        <w:rPr>
          <w:rFonts w:ascii="Arial" w:cs="Arial" w:eastAsia="Arial" w:hAnsi="Arial"/>
        </w:rPr>
        <w:t xml:space="preserve">0.3 Terminology and Conventions</w:t>
      </w:r>
    </w:p>
    <w:p>
      <w:pPr>
        <w:pStyle w:val="ListParagraph"/>
        <w:numPr>
          <w:ilvl w:val="0"/>
          <w:numId w:val="2"/>
        </w:numPr>
      </w:pPr>
      <w:r>
        <w:rPr>
          <w:rFonts w:ascii="Arial" w:cs="Arial" w:eastAsia="Arial" w:hAnsi="Arial"/>
          <w:b/>
          <w:bCs/>
          <w:sz w:val="22"/>
          <w:szCs w:val="22"/>
        </w:rPr>
        <w:t xml:space="preserve">"Identity":</w:t>
      </w:r>
      <w:r>
        <w:rPr>
          <w:rFonts w:ascii="Arial" w:cs="Arial" w:eastAsia="Arial" w:hAnsi="Arial"/>
          <w:sz w:val="22"/>
          <w:szCs w:val="22"/>
        </w:rPr>
        <w:t xml:space="preserve"> Synergy-layer authority, not external-chain accounts.</w:t>
      </w:r>
    </w:p>
    <w:p>
      <w:pPr>
        <w:pStyle w:val="ListParagraph"/>
        <w:numPr>
          <w:ilvl w:val="0"/>
          <w:numId w:val="2"/>
        </w:numPr>
      </w:pPr>
      <w:r>
        <w:rPr>
          <w:rFonts w:ascii="Arial" w:cs="Arial" w:eastAsia="Arial" w:hAnsi="Arial"/>
          <w:b/>
          <w:bCs/>
          <w:sz w:val="22"/>
          <w:szCs w:val="22"/>
        </w:rPr>
        <w:t xml:space="preserve">"Execution":</w:t>
      </w:r>
      <w:r>
        <w:rPr>
          <w:rFonts w:ascii="Arial" w:cs="Arial" w:eastAsia="Arial" w:hAnsi="Arial"/>
          <w:sz w:val="22"/>
          <w:szCs w:val="22"/>
        </w:rPr>
        <w:t xml:space="preserve"> Exclusively native blockchain transaction signing.</w:t>
      </w:r>
    </w:p>
    <w:p>
      <w:pPr>
        <w:pStyle w:val="ListParagraph"/>
        <w:numPr>
          <w:ilvl w:val="0"/>
          <w:numId w:val="2"/>
        </w:numPr>
      </w:pPr>
      <w:r>
        <w:rPr>
          <w:rFonts w:ascii="Arial" w:cs="Arial" w:eastAsia="Arial" w:hAnsi="Arial"/>
          <w:b/>
          <w:bCs/>
          <w:sz w:val="22"/>
          <w:szCs w:val="22"/>
        </w:rPr>
        <w:t xml:space="preserve">"Routing":</w:t>
      </w:r>
      <w:r>
        <w:rPr>
          <w:rFonts w:ascii="Arial" w:cs="Arial" w:eastAsia="Arial" w:hAnsi="Arial"/>
          <w:sz w:val="22"/>
          <w:szCs w:val="22"/>
        </w:rPr>
        <w:t xml:space="preserve"> Address resolution and intent direction, not asset movement.</w:t>
      </w:r>
    </w:p>
    <w:p>
      <w:pPr>
        <w:pStyle w:val="ListParagraph"/>
        <w:numPr>
          <w:ilvl w:val="0"/>
          <w:numId w:val="2"/>
        </w:numPr>
      </w:pPr>
      <w:r>
        <w:rPr>
          <w:rFonts w:ascii="Arial" w:cs="Arial" w:eastAsia="Arial" w:hAnsi="Arial"/>
          <w:b/>
          <w:bCs/>
          <w:sz w:val="22"/>
          <w:szCs w:val="22"/>
        </w:rPr>
        <w:t xml:space="preserve">"Wallet":</w:t>
      </w:r>
      <w:r>
        <w:rPr>
          <w:rFonts w:ascii="Arial" w:cs="Arial" w:eastAsia="Arial" w:hAnsi="Arial"/>
          <w:sz w:val="22"/>
          <w:szCs w:val="22"/>
        </w:rPr>
        <w:t xml:space="preserve"> The composite system, not a single keypair.</w:t>
      </w:r>
    </w:p>
    <w:p>
      <w:pPr>
        <w:pStyle w:val="ListParagraph"/>
        <w:numPr>
          <w:ilvl w:val="0"/>
          <w:numId w:val="2"/>
        </w:numPr>
      </w:pPr>
      <w:r>
        <w:rPr>
          <w:rFonts w:ascii="Arial" w:cs="Arial" w:eastAsia="Arial" w:hAnsi="Arial"/>
          <w:b/>
          <w:bCs/>
          <w:sz w:val="22"/>
          <w:szCs w:val="22"/>
        </w:rPr>
        <w:t xml:space="preserve">"WRA":</w:t>
      </w:r>
      <w:r>
        <w:rPr>
          <w:rFonts w:ascii="Arial" w:cs="Arial" w:eastAsia="Arial" w:hAnsi="Arial"/>
          <w:sz w:val="22"/>
          <w:szCs w:val="22"/>
        </w:rPr>
        <w:t xml:space="preserve"> The Factor-Bound Root Authority secret from which all operational keys are derived.</w:t>
      </w:r>
    </w:p>
    <w:p>
      <w:pPr>
        <w:pStyle w:val="ListParagraph"/>
        <w:numPr>
          <w:ilvl w:val="0"/>
          <w:numId w:val="2"/>
        </w:numPr>
      </w:pPr>
      <w:r>
        <w:rPr>
          <w:rFonts w:ascii="Arial" w:cs="Arial" w:eastAsia="Arial" w:hAnsi="Arial"/>
          <w:b/>
          <w:bCs/>
          <w:sz w:val="22"/>
          <w:szCs w:val="22"/>
        </w:rPr>
        <w:t xml:space="preserve">"F2":</w:t>
      </w:r>
      <w:r>
        <w:rPr>
          <w:rFonts w:ascii="Arial" w:cs="Arial" w:eastAsia="Arial" w:hAnsi="Arial"/>
          <w:sz w:val="22"/>
          <w:szCs w:val="22"/>
        </w:rPr>
        <w:t xml:space="preserve"> The high-entropy second factor required alongside the mnemonic-derived master seed.</w:t>
      </w:r>
    </w:p>
    <w:p>
      <w:pPr>
        <w:pStyle w:val="ListParagraph"/>
        <w:numPr>
          <w:ilvl w:val="0"/>
          <w:numId w:val="2"/>
        </w:numPr>
      </w:pPr>
      <w:r>
        <w:rPr>
          <w:rFonts w:ascii="Arial" w:cs="Arial" w:eastAsia="Arial" w:hAnsi="Arial"/>
          <w:b/>
          <w:bCs/>
          <w:sz w:val="22"/>
          <w:szCs w:val="22"/>
        </w:rPr>
        <w:t xml:space="preserve">"Aegis":</w:t>
      </w:r>
      <w:r>
        <w:rPr>
          <w:rFonts w:ascii="Arial" w:cs="Arial" w:eastAsia="Arial" w:hAnsi="Arial"/>
          <w:sz w:val="22"/>
          <w:szCs w:val="22"/>
        </w:rPr>
        <w:t xml:space="preserve"> The Synergy post-quantum cryptographic governance subsystem.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Abstract</w:t>
      </w:r>
    </w:p>
    <w:p>
      <w:pPr>
        <w:pStyle w:val="Normal"/>
      </w:pPr>
      <w:r>
        <w:rPr>
          <w:rFonts w:ascii="Arial" w:cs="Arial" w:eastAsia="Arial" w:hAnsi="Arial"/>
        </w:rPr>
        <w:t xml:space="preserve">Synergy Wallet is a self-custodial, identity-centric, multi-chain wallet system designed to eliminate irreversible asset loss, collapse fragmented blockchain user experiences, and enable protocol-level cross-chain execution without custodial bridges, delegated signing, or wrapped assets.</w:t>
      </w:r>
    </w:p>
    <w:p>
      <w:pPr>
        <w:spacing w:after="80"/>
      </w:pPr>
      <w:r>
        <w:t xml:space="preserve"/>
      </w:r>
    </w:p>
    <w:p>
      <w:pPr>
        <w:pStyle w:val="Normal"/>
      </w:pPr>
      <w:r>
        <w:rPr>
          <w:rFonts w:ascii="Arial" w:cs="Arial" w:eastAsia="Arial" w:hAnsi="Arial"/>
        </w:rPr>
        <w:t xml:space="preserve">Unlike conventional wallets that bind identity, authority, and execution to a single static private key, Synergy Wallet introduces a layered control architecture that strictly separates identity authority, routing intelligence, and execution capability into independently governed but cryptographically linked planes.</w:t>
      </w:r>
    </w:p>
    <w:p>
      <w:pPr>
        <w:spacing w:after="80"/>
      </w:pPr>
      <w:r>
        <w:t xml:space="preserve"/>
      </w:r>
    </w:p>
    <w:p>
      <w:pPr>
        <w:pStyle w:val="Normal"/>
      </w:pPr>
      <w:r>
        <w:rPr>
          <w:rFonts w:ascii="Arial" w:cs="Arial" w:eastAsia="Arial" w:hAnsi="Arial"/>
        </w:rPr>
        <w:t xml:space="preserve">A defining security property: possession of the BIP-39 mnemonic phrase alone is computationally insufficient to spend funds or complete wallet recovery. Execution authority requires both the master seed and an independent high-entropy second factor, bound together through the Factor-Bound Root Authority (WRA) construction.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Problem Statement and Design Motivation</w:t>
      </w:r>
    </w:p>
    <w:p>
      <w:pPr>
        <w:pStyle w:val="Heading2"/>
      </w:pPr>
      <w:r>
        <w:rPr>
          <w:rFonts w:ascii="Arial" w:cs="Arial" w:eastAsia="Arial" w:hAnsi="Arial"/>
        </w:rPr>
        <w:t xml:space="preserve">2.1 Structural Failures of Existing Wallet Architectures</w:t>
      </w:r>
    </w:p>
    <w:p>
      <w:pPr>
        <w:pStyle w:val="ListParagraph"/>
        <w:numPr>
          <w:ilvl w:val="0"/>
          <w:numId w:val="2"/>
        </w:numPr>
      </w:pPr>
      <w:r>
        <w:rPr>
          <w:rFonts w:ascii="Arial" w:cs="Arial" w:eastAsia="Arial" w:hAnsi="Arial"/>
          <w:b/>
          <w:bCs/>
          <w:sz w:val="22"/>
          <w:szCs w:val="22"/>
        </w:rPr>
        <w:t xml:space="preserve">Single-Point Catastrophic Failure:</w:t>
      </w:r>
      <w:r>
        <w:rPr>
          <w:rFonts w:ascii="Arial" w:cs="Arial" w:eastAsia="Arial" w:hAnsi="Arial"/>
          <w:sz w:val="22"/>
          <w:szCs w:val="22"/>
        </w:rPr>
        <w:t xml:space="preserve"> Loss or compromise of a seed phrase results in permanent loss of identity, authority, and assets.</w:t>
      </w:r>
    </w:p>
    <w:p>
      <w:pPr>
        <w:pStyle w:val="ListParagraph"/>
        <w:numPr>
          <w:ilvl w:val="0"/>
          <w:numId w:val="2"/>
        </w:numPr>
      </w:pPr>
      <w:r>
        <w:rPr>
          <w:rFonts w:ascii="Arial" w:cs="Arial" w:eastAsia="Arial" w:hAnsi="Arial"/>
          <w:b/>
          <w:bCs/>
          <w:sz w:val="22"/>
          <w:szCs w:val="22"/>
        </w:rPr>
        <w:t xml:space="preserve">Identity–Execution Conflation:</w:t>
      </w:r>
      <w:r>
        <w:rPr>
          <w:rFonts w:ascii="Arial" w:cs="Arial" w:eastAsia="Arial" w:hAnsi="Arial"/>
          <w:sz w:val="22"/>
          <w:szCs w:val="22"/>
        </w:rPr>
        <w:t xml:space="preserve"> A single private key simultaneously represents user identity, governance authority, and transaction execution power.</w:t>
      </w:r>
    </w:p>
    <w:p>
      <w:pPr>
        <w:pStyle w:val="ListParagraph"/>
        <w:numPr>
          <w:ilvl w:val="0"/>
          <w:numId w:val="2"/>
        </w:numPr>
      </w:pPr>
      <w:r>
        <w:rPr>
          <w:rFonts w:ascii="Arial" w:cs="Arial" w:eastAsia="Arial" w:hAnsi="Arial"/>
          <w:b/>
          <w:bCs/>
          <w:sz w:val="22"/>
          <w:szCs w:val="22"/>
        </w:rPr>
        <w:t xml:space="preserve">Chain Fragmentation:</w:t>
      </w:r>
      <w:r>
        <w:rPr>
          <w:rFonts w:ascii="Arial" w:cs="Arial" w:eastAsia="Arial" w:hAnsi="Arial"/>
          <w:sz w:val="22"/>
          <w:szCs w:val="22"/>
        </w:rPr>
        <w:t xml:space="preserve"> Users must manage incompatible address formats, signing curves, derivation standards, and mental models across every supported chain.</w:t>
      </w:r>
    </w:p>
    <w:p>
      <w:pPr>
        <w:pStyle w:val="ListParagraph"/>
        <w:numPr>
          <w:ilvl w:val="0"/>
          <w:numId w:val="2"/>
        </w:numPr>
      </w:pPr>
      <w:r>
        <w:rPr>
          <w:rFonts w:ascii="Arial" w:cs="Arial" w:eastAsia="Arial" w:hAnsi="Arial"/>
          <w:b/>
          <w:bCs/>
          <w:sz w:val="22"/>
          <w:szCs w:val="22"/>
        </w:rPr>
        <w:t xml:space="preserve">Unsafe Interoperability:</w:t>
      </w:r>
      <w:r>
        <w:rPr>
          <w:rFonts w:ascii="Arial" w:cs="Arial" w:eastAsia="Arial" w:hAnsi="Arial"/>
          <w:sz w:val="22"/>
          <w:szCs w:val="22"/>
        </w:rPr>
        <w:t xml:space="preserve"> Cross-chain transfers rely on custodial bridges, wrapped assets, and opaque trust assumptions.</w:t>
      </w:r>
    </w:p>
    <w:p>
      <w:pPr>
        <w:pStyle w:val="ListParagraph"/>
        <w:numPr>
          <w:ilvl w:val="0"/>
          <w:numId w:val="2"/>
        </w:numPr>
      </w:pPr>
      <w:r>
        <w:rPr>
          <w:rFonts w:ascii="Arial" w:cs="Arial" w:eastAsia="Arial" w:hAnsi="Arial"/>
          <w:b/>
          <w:bCs/>
          <w:sz w:val="22"/>
          <w:szCs w:val="22"/>
        </w:rPr>
        <w:t xml:space="preserve">Cryptographic Obsolescence:</w:t>
      </w:r>
      <w:r>
        <w:rPr>
          <w:rFonts w:ascii="Arial" w:cs="Arial" w:eastAsia="Arial" w:hAnsi="Arial"/>
          <w:sz w:val="22"/>
          <w:szCs w:val="22"/>
        </w:rPr>
        <w:t xml:space="preserve"> Most wallets cannot evolve toward post-quantum security without breaking compatibility or custody guarantees.</w:t>
      </w:r>
    </w:p>
    <w:p>
      <w:pPr>
        <w:spacing w:after="80"/>
      </w:pPr>
      <w:r>
        <w:t xml:space="preserve"/>
      </w:r>
    </w:p>
    <w:p>
      <w:pPr>
        <w:pStyle w:val="Heading2"/>
      </w:pPr>
      <w:r>
        <w:rPr>
          <w:rFonts w:ascii="Arial" w:cs="Arial" w:eastAsia="Arial" w:hAnsi="Arial"/>
        </w:rPr>
        <w:t xml:space="preserve">2.2 Why UX Abstractions Are Insufficient</w:t>
      </w:r>
    </w:p>
    <w:p>
      <w:pPr>
        <w:pStyle w:val="Normal"/>
      </w:pPr>
      <w:r>
        <w:rPr>
          <w:rFonts w:ascii="Arial" w:cs="Arial" w:eastAsia="Arial" w:hAnsi="Arial"/>
        </w:rPr>
        <w:t xml:space="preserve">Many modern wallets attempt to address usability concerns by introducing UI abstractions layered atop legacy cryptographic assumptions. These measures may improve short-term usability but do not address the underlying structural failures. A cosmetic solution modifies how a user interacts with a system; a structural solution modifies what the system is allowed to do.</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Architectural Overview</w:t>
      </w:r>
    </w:p>
    <w:p>
      <w:pPr>
        <w:pStyle w:val="Heading2"/>
      </w:pPr>
      <w:r>
        <w:rPr>
          <w:rFonts w:ascii="Arial" w:cs="Arial" w:eastAsia="Arial" w:hAnsi="Arial"/>
        </w:rPr>
        <w:t xml:space="preserve">3.1 The Three-Plane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560"/>
      </w:tblGrid>
      <w:tr>
        <w:trPr>
          <w:tblHeader/>
        </w:trPr>
        <w:tc>
          <w:tcPr>
            <w:tcW w:type="dxa" w:w="1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Plane</w:t>
            </w:r>
          </w:p>
        </w:tc>
        <w:tc>
          <w:tcPr>
            <w:tcW w:type="dxa" w:w="3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Responsibility</w:t>
            </w:r>
          </w:p>
        </w:tc>
        <w:tc>
          <w:tcPr>
            <w:tcW w:type="dxa" w:w="3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What It Cannot Do</w:t>
            </w:r>
          </w:p>
        </w:tc>
      </w:tr>
      <w:tr>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Identity</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Define authority and ownership</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Execute transactions or sign chain-native TXs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Routing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Resolve intent and destination (UMA)</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Authorize execution or hold private keys</w:t>
            </w:r>
          </w:p>
        </w:tc>
      </w:tr>
      <w:tr>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Execution</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Move value on external chains natively</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 identity, modify routing, or delegate authority</w:t>
            </w:r>
          </w:p>
        </w:tc>
      </w:tr>
    </w:tbl>
    <w:p>
      <w:pPr>
        <w:spacing w:after="80"/>
      </w:pPr>
      <w:r>
        <w:t xml:space="preserve"/>
      </w:r>
    </w:p>
    <w:p>
      <w:pPr>
        <w:pStyle w:val="Heading2"/>
      </w:pPr>
      <w:r>
        <w:rPr>
          <w:rFonts w:ascii="Arial" w:cs="Arial" w:eastAsia="Arial" w:hAnsi="Arial"/>
        </w:rPr>
        <w:t xml:space="preserve">3.2 Explicit Architectural Invariants</w:t>
      </w:r>
    </w:p>
    <w:p>
      <w:pPr>
        <w:pStyle w:val="ListParagraph"/>
        <w:numPr>
          <w:ilvl w:val="0"/>
          <w:numId w:val="3"/>
        </w:numPr>
      </w:pPr>
      <w:r>
        <w:rPr>
          <w:rFonts w:ascii="Arial" w:cs="Arial" w:eastAsia="Arial" w:hAnsi="Arial"/>
          <w:sz w:val="22"/>
          <w:szCs w:val="22"/>
        </w:rPr>
        <w:t xml:space="preserve">No single key can define identity and execute value transfer.</w:t>
      </w:r>
    </w:p>
    <w:p>
      <w:pPr>
        <w:pStyle w:val="ListParagraph"/>
        <w:numPr>
          <w:ilvl w:val="0"/>
          <w:numId w:val="3"/>
        </w:numPr>
      </w:pPr>
      <w:r>
        <w:rPr>
          <w:rFonts w:ascii="Arial" w:cs="Arial" w:eastAsia="Arial" w:hAnsi="Arial"/>
          <w:sz w:val="22"/>
          <w:szCs w:val="22"/>
        </w:rPr>
        <w:t xml:space="preserve">Identity authority cannot sign external-chain transactions.</w:t>
      </w:r>
    </w:p>
    <w:p>
      <w:pPr>
        <w:pStyle w:val="ListParagraph"/>
        <w:numPr>
          <w:ilvl w:val="0"/>
          <w:numId w:val="3"/>
        </w:numPr>
      </w:pPr>
      <w:r>
        <w:rPr>
          <w:rFonts w:ascii="Arial" w:cs="Arial" w:eastAsia="Arial" w:hAnsi="Arial"/>
          <w:sz w:val="22"/>
          <w:szCs w:val="22"/>
        </w:rPr>
        <w:t xml:space="preserve">Routing data cannot initiate or authorize execution.</w:t>
      </w:r>
    </w:p>
    <w:p>
      <w:pPr>
        <w:pStyle w:val="ListParagraph"/>
        <w:numPr>
          <w:ilvl w:val="0"/>
          <w:numId w:val="3"/>
        </w:numPr>
      </w:pPr>
      <w:r>
        <w:rPr>
          <w:rFonts w:ascii="Arial" w:cs="Arial" w:eastAsia="Arial" w:hAnsi="Arial"/>
          <w:sz w:val="22"/>
          <w:szCs w:val="22"/>
        </w:rPr>
        <w:t xml:space="preserve">Execution keys cannot modify identity or routing state.</w:t>
      </w:r>
    </w:p>
    <w:p>
      <w:pPr>
        <w:pStyle w:val="ListParagraph"/>
        <w:numPr>
          <w:ilvl w:val="0"/>
          <w:numId w:val="3"/>
        </w:numPr>
      </w:pPr>
      <w:r>
        <w:rPr>
          <w:rFonts w:ascii="Arial" w:cs="Arial" w:eastAsia="Arial" w:hAnsi="Arial"/>
          <w:sz w:val="22"/>
          <w:szCs w:val="22"/>
        </w:rPr>
        <w:t xml:space="preserve">Loss of any single cryptographic secret cannot permanently destroy future asset control.</w:t>
      </w:r>
    </w:p>
    <w:p>
      <w:pPr>
        <w:pStyle w:val="ListParagraph"/>
        <w:numPr>
          <w:ilvl w:val="0"/>
          <w:numId w:val="3"/>
        </w:numPr>
      </w:pPr>
      <w:r>
        <w:rPr>
          <w:rFonts w:ascii="Arial" w:cs="Arial" w:eastAsia="Arial" w:hAnsi="Arial"/>
          <w:sz w:val="22"/>
          <w:szCs w:val="22"/>
        </w:rPr>
        <w:t xml:space="preserve">Possession of a mnemonic phrase alone cannot authorize spending (WRA requirement).</w:t>
      </w:r>
    </w:p>
    <w:p>
      <w:pPr>
        <w:spacing w:after="80"/>
      </w:pPr>
      <w:r>
        <w:t xml:space="preserve"/>
      </w:r>
    </w:p>
    <w:p>
      <w:pPr>
        <w:pStyle w:val="Heading2"/>
      </w:pPr>
      <w:r>
        <w:rPr>
          <w:rFonts w:ascii="Arial" w:cs="Arial" w:eastAsia="Arial" w:hAnsi="Arial"/>
        </w:rPr>
        <w:t xml:space="preserve">3.3 Authority Separation and Trust Boundaries</w:t>
      </w:r>
    </w:p>
    <w:p>
      <w:pPr>
        <w:pStyle w:val="ListParagraph"/>
        <w:numPr>
          <w:ilvl w:val="0"/>
          <w:numId w:val="2"/>
        </w:numPr>
      </w:pPr>
      <w:r>
        <w:rPr>
          <w:rFonts w:ascii="Arial" w:cs="Arial" w:eastAsia="Arial" w:hAnsi="Arial"/>
          <w:b/>
          <w:bCs/>
          <w:sz w:val="22"/>
          <w:szCs w:val="22"/>
        </w:rPr>
        <w:t xml:space="preserve">Identity Plane:</w:t>
      </w:r>
      <w:r>
        <w:rPr>
          <w:rFonts w:ascii="Arial" w:cs="Arial" w:eastAsia="Arial" w:hAnsi="Arial"/>
          <w:sz w:val="22"/>
          <w:szCs w:val="22"/>
        </w:rPr>
        <w:t xml:space="preserve"> Trusted for governance and intent, but intentionally powerless over execution.</w:t>
      </w:r>
    </w:p>
    <w:p>
      <w:pPr>
        <w:pStyle w:val="ListParagraph"/>
        <w:numPr>
          <w:ilvl w:val="0"/>
          <w:numId w:val="2"/>
        </w:numPr>
      </w:pPr>
      <w:r>
        <w:rPr>
          <w:rFonts w:ascii="Arial" w:cs="Arial" w:eastAsia="Arial" w:hAnsi="Arial"/>
          <w:b/>
          <w:bCs/>
          <w:sz w:val="22"/>
          <w:szCs w:val="22"/>
        </w:rPr>
        <w:t xml:space="preserve">Routing Plane:</w:t>
      </w:r>
      <w:r>
        <w:rPr>
          <w:rFonts w:ascii="Arial" w:cs="Arial" w:eastAsia="Arial" w:hAnsi="Arial"/>
          <w:sz w:val="22"/>
          <w:szCs w:val="22"/>
        </w:rPr>
        <w:t xml:space="preserve"> Public, inspectable, revocable, and intentionally non-authoritative.</w:t>
      </w:r>
    </w:p>
    <w:p>
      <w:pPr>
        <w:pStyle w:val="ListParagraph"/>
        <w:numPr>
          <w:ilvl w:val="0"/>
          <w:numId w:val="2"/>
        </w:numPr>
      </w:pPr>
      <w:r>
        <w:rPr>
          <w:rFonts w:ascii="Arial" w:cs="Arial" w:eastAsia="Arial" w:hAnsi="Arial"/>
          <w:b/>
          <w:bCs/>
          <w:sz w:val="22"/>
          <w:szCs w:val="22"/>
        </w:rPr>
        <w:t xml:space="preserve">Execution Plane:</w:t>
      </w:r>
      <w:r>
        <w:rPr>
          <w:rFonts w:ascii="Arial" w:cs="Arial" w:eastAsia="Arial" w:hAnsi="Arial"/>
          <w:sz w:val="22"/>
          <w:szCs w:val="22"/>
        </w:rPr>
        <w:t xml:space="preserve"> Fully authoritative for value movement, but blind to identity semantics.</w:t>
      </w:r>
    </w:p>
    <w:p>
      <w:pPr>
        <w:pStyle w:val="Normal"/>
      </w:pPr>
      <w:r>
        <w:rPr>
          <w:rFonts w:ascii="Arial" w:cs="Arial" w:eastAsia="Arial" w:hAnsi="Arial"/>
        </w:rPr>
        <w:t xml:space="preserve">No plane can escalate privileges into another.</w:t>
      </w:r>
    </w:p>
    <w:p>
      <w:pPr>
        <w:spacing w:after="80"/>
      </w:pPr>
      <w:r>
        <w:t xml:space="preserve"/>
      </w:r>
    </w:p>
    <w:p>
      <w:pPr>
        <w:pStyle w:val="Heading2"/>
      </w:pPr>
      <w:r>
        <w:rPr>
          <w:rFonts w:ascii="Arial" w:cs="Arial" w:eastAsia="Arial" w:hAnsi="Arial"/>
        </w:rPr>
        <w:t xml:space="preserve">3.4 Comparison to Conventional Wallet Models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tblGrid>
      <w:tr>
        <w:trPr>
          <w:tblHeader/>
        </w:trPr>
        <w:tc>
          <w:tcPr>
            <w:tcW w:type="dxa" w:w="2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Dimension</w:t>
            </w:r>
          </w:p>
        </w:tc>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Conventional Wallet</w:t>
            </w:r>
          </w:p>
        </w:tc>
        <w:tc>
          <w:tcPr>
            <w:tcW w:type="dxa" w:w="3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Synergy Wallet</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Identity</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 Private Key</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Independent plane (SIK); cannot execute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Authority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 Private Key</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Governed by Identity Plane; separated from execution</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Execution</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 Private Key</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Derived from WRA; disposable instruments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Recovery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Restore the key</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Restore authority via identity anchoring; no key resurrection</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Cross-Chain</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Per-chain silos / bridges</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Protocol coordination via SXCP (bridgeless)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Custody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Self (fragile) or bridge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Explicitly none; all execution is chain-native</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PQC</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Future replacement</w:t>
            </w:r>
          </w:p>
        </w:tc>
        <w:tc>
          <w:tcPr>
            <w:tcW w:type="dxa" w:w="3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Parallel authority today via Aegis/ML-DSA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Seed Exposure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 Total loss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Insufficient alone; F2 required (WRA)</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Identity Plane — Authority Without Execution</w:t>
      </w:r>
    </w:p>
    <w:p>
      <w:pPr>
        <w:pStyle w:val="Heading2"/>
      </w:pPr>
      <w:r>
        <w:rPr>
          <w:rFonts w:ascii="Arial" w:cs="Arial" w:eastAsia="Arial" w:hAnsi="Arial"/>
        </w:rPr>
        <w:t xml:space="preserve">4.2 Synergy Identity Key (SIK)</w:t>
      </w:r>
    </w:p>
    <w:p>
      <w:pPr>
        <w:pStyle w:val="Normal"/>
      </w:pPr>
      <w:r>
        <w:rPr>
          <w:rFonts w:ascii="Arial" w:cs="Arial" w:eastAsia="Arial" w:hAnsi="Arial"/>
        </w:rPr>
        <w:t xml:space="preserve">The SIK is the primary authority key for a Synergy Wallet identity. It represents governance authority, not execution authority. Under V2 alignment with Aegis, the SIK baseline scheme is ML-DSA (FIPS 204). The SIK has authority over SNS name ownership, UMA routing records, recovery configuration, policy configuration, and protocol attestations. It explicitly does not have authority over external-chain signing, transaction finalization, or asset custody.</w:t>
      </w:r>
    </w:p>
    <w:p>
      <w:pPr>
        <w:spacing w:after="80"/>
      </w:pPr>
      <w:r>
        <w:t xml:space="preserve"/>
      </w:r>
    </w:p>
    <w:p>
      <w:pPr>
        <w:pStyle w:val="Heading2"/>
      </w:pPr>
      <w:r>
        <w:rPr>
          <w:rFonts w:ascii="Arial" w:cs="Arial" w:eastAsia="Arial" w:hAnsi="Arial"/>
        </w:rPr>
        <w:t xml:space="preserve">4.3 Identity State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State</w:t>
            </w:r>
          </w:p>
        </w:tc>
        <w:tc>
          <w:tcPr>
            <w:tcW w:type="dxa" w:w="5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Active</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Normal operation; full authority in effect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Restricted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Limited operations due to policy violation or recovery guard</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Recovery-Pending</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Recovery initiated; time-lock in effect; UMA updates may be frozen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Recovery-Confirmed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Quorum or time-lock satisfied; awaiting generation increment</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Recovered</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New execution generation activated; identity returns to Active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Decommissioned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Identity permanently retired; no further state transitions possible</w:t>
            </w:r>
          </w:p>
        </w:tc>
      </w:tr>
    </w:tbl>
    <w:p>
      <w:pPr>
        <w:spacing w:after="80"/>
      </w:pPr>
      <w:r>
        <w:t xml:space="preserve"/>
      </w:r>
    </w:p>
    <w:p>
      <w:pPr>
        <w:pStyle w:val="Heading2"/>
      </w:pPr>
      <w:r>
        <w:rPr>
          <w:rFonts w:ascii="Arial" w:cs="Arial" w:eastAsia="Arial" w:hAnsi="Arial"/>
        </w:rPr>
        <w:t xml:space="preserve">4.6 Identity Plane Invariants</w:t>
      </w:r>
    </w:p>
    <w:p>
      <w:pPr>
        <w:pStyle w:val="ListParagraph"/>
        <w:numPr>
          <w:ilvl w:val="0"/>
          <w:numId w:val="2"/>
        </w:numPr>
      </w:pPr>
      <w:r>
        <w:rPr>
          <w:rFonts w:ascii="Arial" w:cs="Arial" w:eastAsia="Arial" w:hAnsi="Arial"/>
          <w:sz w:val="22"/>
          <w:szCs w:val="22"/>
        </w:rPr>
        <w:t xml:space="preserve">Identity ≠ Execution</w:t>
      </w:r>
    </w:p>
    <w:p>
      <w:pPr>
        <w:pStyle w:val="ListParagraph"/>
        <w:numPr>
          <w:ilvl w:val="0"/>
          <w:numId w:val="2"/>
        </w:numPr>
      </w:pPr>
      <w:r>
        <w:rPr>
          <w:rFonts w:ascii="Arial" w:cs="Arial" w:eastAsia="Arial" w:hAnsi="Arial"/>
          <w:sz w:val="22"/>
          <w:szCs w:val="22"/>
        </w:rPr>
        <w:t xml:space="preserve">Authority ≠ Signing Power</w:t>
      </w:r>
    </w:p>
    <w:p>
      <w:pPr>
        <w:pStyle w:val="ListParagraph"/>
        <w:numPr>
          <w:ilvl w:val="0"/>
          <w:numId w:val="2"/>
        </w:numPr>
      </w:pPr>
      <w:r>
        <w:rPr>
          <w:rFonts w:ascii="Arial" w:cs="Arial" w:eastAsia="Arial" w:hAnsi="Arial"/>
          <w:sz w:val="22"/>
          <w:szCs w:val="22"/>
        </w:rPr>
        <w:t xml:space="preserve">Recovery ≠ Key Reconstruction</w:t>
      </w:r>
    </w:p>
    <w:p>
      <w:pPr>
        <w:pStyle w:val="ListParagraph"/>
        <w:numPr>
          <w:ilvl w:val="0"/>
          <w:numId w:val="2"/>
        </w:numPr>
      </w:pPr>
      <w:r>
        <w:rPr>
          <w:rFonts w:ascii="Arial" w:cs="Arial" w:eastAsia="Arial" w:hAnsi="Arial"/>
          <w:sz w:val="22"/>
          <w:szCs w:val="22"/>
        </w:rPr>
        <w:t xml:space="preserve">Names ≠ Addresses</w:t>
      </w:r>
    </w:p>
    <w:p>
      <w:pPr>
        <w:pStyle w:val="ListParagraph"/>
        <w:numPr>
          <w:ilvl w:val="0"/>
          <w:numId w:val="2"/>
        </w:numPr>
      </w:pPr>
      <w:r>
        <w:rPr>
          <w:rFonts w:ascii="Arial" w:cs="Arial" w:eastAsia="Arial" w:hAnsi="Arial"/>
          <w:sz w:val="22"/>
          <w:szCs w:val="22"/>
        </w:rPr>
        <w:t xml:space="preserve">Governance ≠ Custody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Routing Plane — Intent Without Authority</w:t>
      </w:r>
    </w:p>
    <w:p>
      <w:pPr>
        <w:pStyle w:val="Heading2"/>
      </w:pPr>
      <w:r>
        <w:rPr>
          <w:rFonts w:ascii="Arial" w:cs="Arial" w:eastAsia="Arial" w:hAnsi="Arial"/>
        </w:rPr>
        <w:t xml:space="preserve">5.2 Universal Meta-Address (UMA)</w:t>
      </w:r>
    </w:p>
    <w:p>
      <w:pPr>
        <w:pStyle w:val="Normal"/>
      </w:pPr>
      <w:r>
        <w:rPr>
          <w:rFonts w:ascii="Arial" w:cs="Arial" w:eastAsia="Arial" w:hAnsi="Arial"/>
        </w:rPr>
        <w:t xml:space="preserve">A Universal Meta-Address (UMA) is a cryptographically governed routing construct that maps a Synergy Identity to one or more chain-native public addresses. Conceptually: (Synergy Identity, ChainID, Version) → Public Address. UMA represents where value should be sent, not who can move it.</w:t>
      </w:r>
    </w:p>
    <w:p>
      <w:pPr>
        <w:spacing w:after="80"/>
      </w:pPr>
      <w:r>
        <w:t xml:space="preserve"/>
      </w:r>
    </w:p>
    <w:p>
      <w:pPr>
        <w:pStyle w:val="Normal"/>
      </w:pPr>
      <w:r>
        <w:rPr>
          <w:rFonts w:ascii="Arial" w:cs="Arial" w:eastAsia="Arial" w:hAnsi="Arial"/>
        </w:rPr>
        <w:t xml:space="preserve">UMA records are explicitly versioned. Each update increments a monotonic version counter, invalidates prior routing entries, and is auditable and irreversible. UMA evolution is forward-only.</w:t>
      </w:r>
    </w:p>
    <w:p>
      <w:pPr>
        <w:spacing w:after="80"/>
      </w:pPr>
      <w:r>
        <w:t xml:space="preserve"/>
      </w:r>
    </w:p>
    <w:p>
      <w:pPr>
        <w:pStyle w:val="Heading2"/>
      </w:pPr>
      <w:r>
        <w:rPr>
          <w:rFonts w:ascii="Arial" w:cs="Arial" w:eastAsia="Arial" w:hAnsi="Arial"/>
        </w:rPr>
        <w:t xml:space="preserve">5.4 Routing Plane Invariants</w:t>
      </w:r>
    </w:p>
    <w:p>
      <w:pPr>
        <w:pStyle w:val="ListParagraph"/>
        <w:numPr>
          <w:ilvl w:val="0"/>
          <w:numId w:val="2"/>
        </w:numPr>
      </w:pPr>
      <w:r>
        <w:rPr>
          <w:rFonts w:ascii="Arial" w:cs="Arial" w:eastAsia="Arial" w:hAnsi="Arial"/>
          <w:sz w:val="22"/>
          <w:szCs w:val="22"/>
        </w:rPr>
        <w:t xml:space="preserve">Routing ≠ Authority</w:t>
      </w:r>
    </w:p>
    <w:p>
      <w:pPr>
        <w:pStyle w:val="ListParagraph"/>
        <w:numPr>
          <w:ilvl w:val="0"/>
          <w:numId w:val="2"/>
        </w:numPr>
      </w:pPr>
      <w:r>
        <w:rPr>
          <w:rFonts w:ascii="Arial" w:cs="Arial" w:eastAsia="Arial" w:hAnsi="Arial"/>
          <w:sz w:val="22"/>
          <w:szCs w:val="22"/>
        </w:rPr>
        <w:t xml:space="preserve">Resolution ≠ Execution</w:t>
      </w:r>
    </w:p>
    <w:p>
      <w:pPr>
        <w:pStyle w:val="ListParagraph"/>
        <w:numPr>
          <w:ilvl w:val="0"/>
          <w:numId w:val="2"/>
        </w:numPr>
      </w:pPr>
      <w:r>
        <w:rPr>
          <w:rFonts w:ascii="Arial" w:cs="Arial" w:eastAsia="Arial" w:hAnsi="Arial"/>
          <w:sz w:val="22"/>
          <w:szCs w:val="22"/>
        </w:rPr>
        <w:t xml:space="preserve">Public Data ≠ Custody</w:t>
      </w:r>
    </w:p>
    <w:p>
      <w:pPr>
        <w:pStyle w:val="ListParagraph"/>
        <w:numPr>
          <w:ilvl w:val="0"/>
          <w:numId w:val="2"/>
        </w:numPr>
      </w:pPr>
      <w:r>
        <w:rPr>
          <w:rFonts w:ascii="Arial" w:cs="Arial" w:eastAsia="Arial" w:hAnsi="Arial"/>
          <w:sz w:val="22"/>
          <w:szCs w:val="22"/>
        </w:rPr>
        <w:t xml:space="preserve">Rotation ≠ Asset Migration</w:t>
      </w:r>
    </w:p>
    <w:p>
      <w:pPr>
        <w:pStyle w:val="ListParagraph"/>
        <w:numPr>
          <w:ilvl w:val="0"/>
          <w:numId w:val="2"/>
        </w:numPr>
      </w:pPr>
      <w:r>
        <w:rPr>
          <w:rFonts w:ascii="Arial" w:cs="Arial" w:eastAsia="Arial" w:hAnsi="Arial"/>
          <w:sz w:val="22"/>
          <w:szCs w:val="22"/>
        </w:rPr>
        <w:t xml:space="preserve">Recovery ≠ Key Reconstruction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Execution Plane — Authority Without Identity</w:t>
      </w:r>
    </w:p>
    <w:p>
      <w:pPr>
        <w:pStyle w:val="Heading2"/>
      </w:pPr>
      <w:r>
        <w:rPr>
          <w:rFonts w:ascii="Arial" w:cs="Arial" w:eastAsia="Arial" w:hAnsi="Arial"/>
        </w:rPr>
        <w:t xml:space="preserve">6.2 Execution Keys as Disposable Authorities</w:t>
      </w:r>
    </w:p>
    <w:p>
      <w:pPr>
        <w:pStyle w:val="Normal"/>
      </w:pPr>
      <w:r>
        <w:rPr>
          <w:rFonts w:ascii="Arial" w:cs="Arial" w:eastAsia="Arial" w:hAnsi="Arial"/>
        </w:rPr>
        <w:t xml:space="preserve">In Synergy Wallet, execution keys are treated as replaceable, deterministic instruments authorized by identity. They are not identity. They are tools derived from the Factor-Bound Root Authority (WRA). Compromise of one chain's private key does not imply compromise of other chains, identity keys, routing authority, or recovery authority.</w:t>
      </w:r>
    </w:p>
    <w:p>
      <w:pPr>
        <w:spacing w:after="80"/>
      </w:pPr>
      <w:r>
        <w:t xml:space="preserve"/>
      </w:r>
    </w:p>
    <w:p>
      <w:pPr>
        <w:pStyle w:val="Heading2"/>
      </w:pPr>
      <w:r>
        <w:rPr>
          <w:rFonts w:ascii="Arial" w:cs="Arial" w:eastAsia="Arial" w:hAnsi="Arial"/>
        </w:rPr>
        <w:t xml:space="preserve">6.3 Deterministic Chain-Native Key Derivation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Chain Family</w:t>
            </w:r>
          </w:p>
        </w:tc>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Curve / Scheme</w:t>
            </w:r>
          </w:p>
        </w:tc>
        <w:tc>
          <w:tcPr>
            <w:tcW w:type="dxa" w:w="31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Standard</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Bitcoin &amp; UTXO chains</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secp256k1</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BIP-32 / BIP-44</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Ethereum &amp; EVM chains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secp256k1</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BIP-44</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Solana</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ed25519</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SLIP-0010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Substrate-based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sr25519</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Native substrate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PQC domains</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ML-DSA / FN-DSA</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Aegis (FIPS 204 / FIPS 206)</w:t>
            </w:r>
          </w:p>
        </w:tc>
      </w:tr>
    </w:tbl>
    <w:p>
      <w:pPr>
        <w:spacing w:after="80"/>
      </w:pPr>
      <w:r>
        <w:t xml:space="preserve"/>
      </w:r>
    </w:p>
    <w:p>
      <w:pPr>
        <w:pStyle w:val="Heading2"/>
      </w:pPr>
      <w:r>
        <w:rPr>
          <w:rFonts w:ascii="Arial" w:cs="Arial" w:eastAsia="Arial" w:hAnsi="Arial"/>
        </w:rPr>
        <w:t xml:space="preserve">6.4 Execution Authorization Pipeline</w:t>
      </w:r>
    </w:p>
    <w:p>
      <w:pPr>
        <w:pStyle w:val="ListParagraph"/>
        <w:numPr>
          <w:ilvl w:val="0"/>
          <w:numId w:val="3"/>
        </w:numPr>
      </w:pPr>
      <w:r>
        <w:rPr>
          <w:rFonts w:ascii="Arial" w:cs="Arial" w:eastAsia="Arial" w:hAnsi="Arial"/>
          <w:sz w:val="22"/>
          <w:szCs w:val="22"/>
        </w:rPr>
        <w:t xml:space="preserve">User Intent Expression — user explicitly initiates an action.</w:t>
      </w:r>
    </w:p>
    <w:p>
      <w:pPr>
        <w:pStyle w:val="ListParagraph"/>
        <w:numPr>
          <w:ilvl w:val="0"/>
          <w:numId w:val="3"/>
        </w:numPr>
      </w:pPr>
      <w:r>
        <w:rPr>
          <w:rFonts w:ascii="Arial" w:cs="Arial" w:eastAsia="Arial" w:hAnsi="Arial"/>
          <w:sz w:val="22"/>
          <w:szCs w:val="22"/>
        </w:rPr>
        <w:t xml:space="preserve">Routing Resolution — destination address resolved via UMA.</w:t>
      </w:r>
    </w:p>
    <w:p>
      <w:pPr>
        <w:pStyle w:val="ListParagraph"/>
        <w:numPr>
          <w:ilvl w:val="0"/>
          <w:numId w:val="3"/>
        </w:numPr>
      </w:pPr>
      <w:r>
        <w:rPr>
          <w:rFonts w:ascii="Arial" w:cs="Arial" w:eastAsia="Arial" w:hAnsi="Arial"/>
          <w:sz w:val="22"/>
          <w:szCs w:val="22"/>
        </w:rPr>
        <w:t xml:space="preserve">Policy Evaluation — Local Policy Engine evaluates all constraints (hard gate).</w:t>
      </w:r>
    </w:p>
    <w:p>
      <w:pPr>
        <w:pStyle w:val="ListParagraph"/>
        <w:numPr>
          <w:ilvl w:val="0"/>
          <w:numId w:val="3"/>
        </w:numPr>
      </w:pPr>
      <w:r>
        <w:rPr>
          <w:rFonts w:ascii="Arial" w:cs="Arial" w:eastAsia="Arial" w:hAnsi="Arial"/>
          <w:sz w:val="22"/>
          <w:szCs w:val="22"/>
        </w:rPr>
        <w:t xml:space="preserve">Execution Key Selection — correct chain-specific key selected from WRA-derived domain.</w:t>
      </w:r>
    </w:p>
    <w:p>
      <w:pPr>
        <w:pStyle w:val="ListParagraph"/>
        <w:numPr>
          <w:ilvl w:val="0"/>
          <w:numId w:val="3"/>
        </w:numPr>
      </w:pPr>
      <w:r>
        <w:rPr>
          <w:rFonts w:ascii="Arial" w:cs="Arial" w:eastAsia="Arial" w:hAnsi="Arial"/>
          <w:sz w:val="22"/>
          <w:szCs w:val="22"/>
        </w:rPr>
        <w:t xml:space="preserve">Transaction Construction — native transaction assembled per chain rules.</w:t>
      </w:r>
    </w:p>
    <w:p>
      <w:pPr>
        <w:pStyle w:val="ListParagraph"/>
        <w:numPr>
          <w:ilvl w:val="0"/>
          <w:numId w:val="3"/>
        </w:numPr>
      </w:pPr>
      <w:r>
        <w:rPr>
          <w:rFonts w:ascii="Arial" w:cs="Arial" w:eastAsia="Arial" w:hAnsi="Arial"/>
          <w:sz w:val="22"/>
          <w:szCs w:val="22"/>
        </w:rPr>
        <w:t xml:space="preserve">Signature Generation — transaction signed locally.</w:t>
      </w:r>
    </w:p>
    <w:p>
      <w:pPr>
        <w:pStyle w:val="ListParagraph"/>
        <w:numPr>
          <w:ilvl w:val="0"/>
          <w:numId w:val="3"/>
        </w:numPr>
      </w:pPr>
      <w:r>
        <w:rPr>
          <w:rFonts w:ascii="Arial" w:cs="Arial" w:eastAsia="Arial" w:hAnsi="Arial"/>
          <w:sz w:val="22"/>
          <w:szCs w:val="22"/>
        </w:rPr>
        <w:t xml:space="preserve">Broadcast — transaction submitted directly to the chain RPC.</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Root Secret and Cryptographic Isolation</w:t>
      </w:r>
    </w:p>
    <w:p>
      <w:pPr>
        <w:pStyle w:val="Heading2"/>
      </w:pPr>
      <w:r>
        <w:rPr>
          <w:rFonts w:ascii="Arial" w:cs="Arial" w:eastAsia="Arial" w:hAnsi="Arial"/>
        </w:rPr>
        <w:t xml:space="preserve">7.2.3 Factor-Bound Root Authority (WRA) — Seed-Theft Resistance</w:t>
      </w:r>
    </w:p>
    <w:p>
      <w:pPr>
        <w:pStyle w:val="Normal"/>
      </w:pPr>
      <w:r>
        <w:rPr>
          <w:rFonts w:ascii="Arial" w:cs="Arial" w:eastAsia="Arial" w:hAnsi="Arial"/>
        </w:rPr>
        <w:t xml:space="preserve">The V3 (unified) construction treats the mnemonic-derived master seed as an entropy component, not a master key. Execution authority is derived only from the Factor-Bound Root Authority secret (WRA), constructed from two independent factors under explicit policy.</w:t>
      </w:r>
    </w:p>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WRA = HKDF( MS ‖ F2, info="synergy.wallet.wra.v1" )</w:t>
      </w:r>
    </w:p>
    <w:p>
      <w:pPr>
        <w:spacing w:after="80"/>
      </w:pPr>
      <w:r>
        <w:t xml:space="preserve"/>
      </w:r>
    </w:p>
    <w:p>
      <w:pPr>
        <w:pStyle w:val="Normal"/>
      </w:pPr>
      <w:r>
        <w:rPr>
          <w:rFonts w:ascii="Arial" w:cs="Arial" w:eastAsia="Arial" w:hAnsi="Arial"/>
        </w:rPr>
        <w:t xml:space="preserve">MS = BIP-39 master seed derived via PBKDF2-HMAC-SHA512. F2 = high-entropy second factor, NOT human-memorable, not stored alongside the mnemonic. All downstream cryptographic domains are expanded from WRA using HKDF domain separation rules. MS alone is insufficient to derive any operational signing keys.</w:t>
      </w:r>
    </w:p>
    <w:p>
      <w:pPr>
        <w:spacing w:after="80"/>
      </w:pPr>
      <w:r>
        <w:t xml:space="preserve"/>
      </w:r>
    </w:p>
    <w:p>
      <w:pPr>
        <w:pStyle w:val="Heading2"/>
      </w:pPr>
      <w:r>
        <w:rPr>
          <w:rFonts w:ascii="Arial" w:cs="Arial" w:eastAsia="Arial" w:hAnsi="Arial"/>
        </w:rPr>
        <w:t xml:space="preserve">7.2.3 Deployment Tiers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000"/>
      </w:tblGrid>
      <w:tr>
        <w:trPr>
          <w:tblHeader/>
        </w:trPr>
        <w:tc>
          <w:tcPr>
            <w:tcW w:type="dxa" w:w="1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Tier</w:t>
            </w:r>
          </w:p>
        </w:tc>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Name</w:t>
            </w:r>
          </w:p>
        </w:tc>
        <w:tc>
          <w:tcPr>
            <w:tcW w:type="dxa" w:w="5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Compatibility</w:t>
            </w:r>
          </w:p>
        </w:tc>
        <w:tc>
          <w:tcPr>
            <w:tcW w:type="dxa" w:w="5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Standard single-key EOA derivation. Wallet MUST label this as not meeting seed-compromise objectives. Legacy chain compatibility only.</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Factor-Bound Derivation</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 keys derived from WRA = HKDF(MS ‖ F2). Seed alone cannot spend. Default deployment tier.</w:t>
            </w:r>
          </w:p>
        </w:tc>
      </w:tr>
      <w:tr>
        <w:tc>
          <w:tcPr>
            <w:tcW w:type="dxa" w:w="1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3</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Threshold Execution</w:t>
            </w:r>
          </w:p>
        </w:tc>
        <w:tc>
          <w:tcPr>
            <w:tcW w:type="dxa" w:w="5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Threshold signing or chain-native scripts so no single derived key can unilaterally spend.</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Chain-Enforced Accounts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Native scripts (UTXO) or contract accounts enforce multi-factor authorization on-chain. Strongest tier; chain-dependent.</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Transaction Models — SCETP</w:t>
      </w:r>
    </w:p>
    <w:p>
      <w:pPr>
        <w:pStyle w:val="Heading2"/>
      </w:pPr>
      <w:r>
        <w:rPr>
          <w:rFonts w:ascii="Arial" w:cs="Arial" w:eastAsia="Arial" w:hAnsi="Arial"/>
        </w:rPr>
        <w:t xml:space="preserve">8.2 SCETP — Same-Chain External Transfer Protocol</w:t>
      </w:r>
    </w:p>
    <w:p>
      <w:pPr>
        <w:pStyle w:val="Normal"/>
      </w:pPr>
      <w:r>
        <w:rPr>
          <w:rFonts w:ascii="Arial" w:cs="Arial" w:eastAsia="Arial" w:hAnsi="Arial"/>
        </w:rPr>
        <w:t xml:space="preserve">SCETP is used exclusively when source and destination chains are the same external blockchain. It answers: 'How do we let users send assets by identity without violating native chain semantics?' The answer is: resolve by identity, execute natively. Synergy participates in resolution and audit, never execution.</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rPr>
          <w:tblHeader/>
        </w:trPr>
        <w:tc>
          <w:tcPr>
            <w:tcW w:type="dxa" w:w="8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SCETP Security Invariant</w:t>
            </w:r>
          </w:p>
        </w:tc>
      </w:tr>
      <w:tr>
        <w:tc>
          <w:tcPr>
            <w:tcW w:type="dxa" w:w="8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Synergy infrastructure never holds assets</w:t>
            </w:r>
          </w:p>
        </w:tc>
      </w:tr>
      <w:tr>
        <w:tc>
          <w:tcPr>
            <w:tcW w:type="dxa" w:w="8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Synergy infrastructure never signs transactions</w:t>
            </w:r>
          </w:p>
        </w:tc>
      </w:tr>
      <w:tr>
        <w:tc>
          <w:tcPr>
            <w:tcW w:type="dxa" w:w="8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UMA resolution never authorizes execution</w:t>
            </w:r>
          </w:p>
        </w:tc>
      </w:tr>
      <w:tr>
        <w:tc>
          <w:tcPr>
            <w:tcW w:type="dxa" w:w="8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Identity compromise cannot move funds</w:t>
            </w:r>
          </w:p>
        </w:tc>
      </w:tr>
      <w:tr>
        <w:tc>
          <w:tcPr>
            <w:tcW w:type="dxa" w:w="8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Routing compromise cannot bypass policy</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SXCP — Synergy Cross-Chain Protocol</w:t>
      </w:r>
    </w:p>
    <w:p>
      <w:pPr>
        <w:pStyle w:val="Heading2"/>
      </w:pPr>
      <w:r>
        <w:rPr>
          <w:rFonts w:ascii="Arial" w:cs="Arial" w:eastAsia="Arial" w:hAnsi="Arial"/>
        </w:rPr>
        <w:t xml:space="preserve">9.1 Core Design Principle</w:t>
      </w:r>
    </w:p>
    <w:p>
      <w:pPr>
        <w:pStyle w:val="Normal"/>
      </w:pPr>
      <w:r>
        <w:rPr>
          <w:rFonts w:ascii="Arial" w:cs="Arial" w:eastAsia="Arial" w:hAnsi="Arial"/>
        </w:rPr>
        <w:t xml:space="preserve">SXCP is used only when source chain and destination chain differ. SXCP is not a transfer protocol — it is a coordination protocol. SXCP never executes transactions; it coordinates execution that happens elsewhere. This single rule eliminates bridge custody risk, wrapped asset dependence, delegated signing, and silent trust escalation. SXCP operates entirely on commitments, proofs, and conditions.</w:t>
      </w:r>
    </w:p>
    <w:p>
      <w:pPr>
        <w:spacing w:after="80"/>
      </w:pPr>
      <w:r>
        <w:t xml:space="preserve"/>
      </w:r>
    </w:p>
    <w:p>
      <w:pPr>
        <w:pStyle w:val="Heading2"/>
      </w:pPr>
      <w:r>
        <w:rPr>
          <w:rFonts w:ascii="Arial" w:cs="Arial" w:eastAsia="Arial" w:hAnsi="Arial"/>
        </w:rPr>
        <w:t xml:space="preserve">9.3 SXCP Operational Modes</w:t>
      </w:r>
    </w:p>
    <w:p>
      <w:pPr>
        <w:pStyle w:val="ListParagraph"/>
        <w:numPr>
          <w:ilvl w:val="0"/>
          <w:numId w:val="2"/>
        </w:numPr>
      </w:pPr>
      <w:r>
        <w:rPr>
          <w:rFonts w:ascii="Arial" w:cs="Arial" w:eastAsia="Arial" w:hAnsi="Arial"/>
          <w:b/>
          <w:bCs/>
          <w:sz w:val="22"/>
          <w:szCs w:val="22"/>
        </w:rPr>
        <w:t xml:space="preserve">Mode A — Atomic Swap Coordination:</w:t>
      </w:r>
      <w:r>
        <w:rPr>
          <w:rFonts w:ascii="Arial" w:cs="Arial" w:eastAsia="Arial" w:hAnsi="Arial"/>
          <w:sz w:val="22"/>
          <w:szCs w:val="22"/>
        </w:rPr>
        <w:t xml:space="preserve"> Uses hash-locked commitments, asymmetric timeouts, and secret revelation as a fulfillment trigger. No relayer trust, fully on-chain verifiable. Use cases: high-value transfers, adversarial environments.</w:t>
      </w:r>
    </w:p>
    <w:p>
      <w:pPr>
        <w:pStyle w:val="ListParagraph"/>
        <w:numPr>
          <w:ilvl w:val="0"/>
          <w:numId w:val="2"/>
        </w:numPr>
      </w:pPr>
      <w:r>
        <w:rPr>
          <w:rFonts w:ascii="Arial" w:cs="Arial" w:eastAsia="Arial" w:hAnsi="Arial"/>
          <w:b/>
          <w:bCs/>
          <w:sz w:val="22"/>
          <w:szCs w:val="22"/>
        </w:rPr>
        <w:t xml:space="preserve">Mode B — Threshold Attestation Coordination:</w:t>
      </w:r>
      <w:r>
        <w:rPr>
          <w:rFonts w:ascii="Arial" w:cs="Arial" w:eastAsia="Arial" w:hAnsi="Arial"/>
          <w:sz w:val="22"/>
          <w:szCs w:val="22"/>
        </w:rPr>
        <w:t xml:space="preserve"> Uses witness registries, multi-party observation, and threshold signatures (PQC-capable). High throughput, low latency. Relayers attest to observed chain facts only — not delegated execution.</w:t>
      </w:r>
    </w:p>
    <w:p>
      <w:pPr>
        <w:spacing w:after="80"/>
      </w:pPr>
      <w:r>
        <w:t xml:space="preserve"/>
      </w:r>
    </w:p>
    <w:p>
      <w:pPr>
        <w:pStyle w:val="Heading2"/>
      </w:pPr>
      <w:r>
        <w:rPr>
          <w:rFonts w:ascii="Arial" w:cs="Arial" w:eastAsia="Arial" w:hAnsi="Arial"/>
        </w:rPr>
        <w:t xml:space="preserve">9.7 Non-Custodial Guarantees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Property</w:t>
            </w:r>
          </w:p>
        </w:tc>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SCETP</w:t>
            </w:r>
          </w:p>
        </w:tc>
        <w:tc>
          <w:tcPr>
            <w:tcW w:type="dxa" w:w="31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SXCP</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Asset custody</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Local signing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Always (WRA-derived keys)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Always (native to each chain)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Wrapped assets</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Intermediate custody domain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N/A</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Never (bridgeless)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Delegated execution</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c>
          <w:tcPr>
            <w:tcW w:type="dxa" w:w="3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Never</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Recovery Without Seed Reconstruction</w:t>
      </w:r>
    </w:p>
    <w:p>
      <w:pPr>
        <w:pStyle w:val="Heading2"/>
      </w:pPr>
      <w:r>
        <w:rPr>
          <w:rFonts w:ascii="Arial" w:cs="Arial" w:eastAsia="Arial" w:hAnsi="Arial"/>
        </w:rPr>
        <w:t xml:space="preserve">10.2 What Recovery Means in Synergy Wallet</w:t>
      </w:r>
    </w:p>
    <w:p>
      <w:pPr>
        <w:pStyle w:val="Normal"/>
      </w:pPr>
      <w:r>
        <w:rPr>
          <w:rFonts w:ascii="Arial" w:cs="Arial" w:eastAsia="Arial" w:hAnsi="Arial"/>
        </w:rPr>
        <w:t xml:space="preserve">Recovery does not mean restoring old private keys, re-signing historical transactions, or reclaiming assets tied to irretrievably lost execution keys. Recovery means restoring identity authority, restoring routing control, and re-establishing future execution capability from a new WRA epoch.</w:t>
      </w:r>
    </w:p>
    <w:p>
      <w:pPr>
        <w:spacing w:after="80"/>
      </w:pPr>
      <w:r>
        <w:t xml:space="preserve"/>
      </w:r>
    </w:p>
    <w:p>
      <w:pPr>
        <w:pStyle w:val="Heading2"/>
      </w:pPr>
      <w:r>
        <w:rPr>
          <w:rFonts w:ascii="Arial" w:cs="Arial" w:eastAsia="Arial" w:hAnsi="Arial"/>
        </w:rPr>
        <w:t xml:space="preserve">10.3 Separation of Recoverable and Irrecoverable State</w:t>
      </w:r>
    </w:p>
    <w:p>
      <w:pPr>
        <w:pStyle w:val="ListParagraph"/>
        <w:numPr>
          <w:ilvl w:val="0"/>
          <w:numId w:val="2"/>
        </w:numPr>
      </w:pPr>
      <w:r>
        <w:rPr>
          <w:rFonts w:ascii="Arial" w:cs="Arial" w:eastAsia="Arial" w:hAnsi="Arial"/>
          <w:b/>
          <w:bCs/>
          <w:sz w:val="22"/>
          <w:szCs w:val="22"/>
        </w:rPr>
        <w:t xml:space="preserve">Irrecoverable (by design):</w:t>
      </w:r>
      <w:r>
        <w:rPr>
          <w:rFonts w:ascii="Arial" w:cs="Arial" w:eastAsia="Arial" w:hAnsi="Arial"/>
          <w:sz w:val="22"/>
          <w:szCs w:val="22"/>
        </w:rPr>
        <w:t xml:space="preserve"> Execution private keys already used on external chains, assets already controlled by those keys, historical signing authority. This preserves blockchain immutability.</w:t>
      </w:r>
    </w:p>
    <w:p>
      <w:pPr>
        <w:pStyle w:val="ListParagraph"/>
        <w:numPr>
          <w:ilvl w:val="0"/>
          <w:numId w:val="2"/>
        </w:numPr>
      </w:pPr>
      <w:r>
        <w:rPr>
          <w:rFonts w:ascii="Arial" w:cs="Arial" w:eastAsia="Arial" w:hAnsi="Arial"/>
          <w:b/>
          <w:bCs/>
          <w:sz w:val="22"/>
          <w:szCs w:val="22"/>
        </w:rPr>
        <w:t xml:space="preserve">Recoverable (by architecture):</w:t>
      </w:r>
      <w:r>
        <w:rPr>
          <w:rFonts w:ascii="Arial" w:cs="Arial" w:eastAsia="Arial" w:hAnsi="Arial"/>
          <w:sz w:val="22"/>
          <w:szCs w:val="22"/>
        </w:rPr>
        <w:t xml:space="preserve"> Synergy identity authority (SIK), SNS name ownership, UMA routing mappings, policy configuration, future execution derivation (new WRA epoch).</w:t>
      </w:r>
    </w:p>
    <w:p>
      <w:pPr>
        <w:spacing w:after="80"/>
      </w:pPr>
      <w:r>
        <w:t xml:space="preserve"/>
      </w:r>
    </w:p>
    <w:p>
      <w:pPr>
        <w:pStyle w:val="Heading2"/>
      </w:pPr>
      <w:r>
        <w:rPr>
          <w:rFonts w:ascii="Arial" w:cs="Arial" w:eastAsia="Arial" w:hAnsi="Arial"/>
        </w:rPr>
        <w:t xml:space="preserve">10.8 Recovery Invariants</w:t>
      </w:r>
    </w:p>
    <w:p>
      <w:pPr>
        <w:pStyle w:val="ListParagraph"/>
        <w:numPr>
          <w:ilvl w:val="0"/>
          <w:numId w:val="2"/>
        </w:numPr>
      </w:pPr>
      <w:r>
        <w:rPr>
          <w:rFonts w:ascii="Arial" w:cs="Arial" w:eastAsia="Arial" w:hAnsi="Arial"/>
          <w:sz w:val="22"/>
          <w:szCs w:val="22"/>
        </w:rPr>
        <w:t xml:space="preserve">Identity ≠ Execution</w:t>
      </w:r>
    </w:p>
    <w:p>
      <w:pPr>
        <w:pStyle w:val="ListParagraph"/>
        <w:numPr>
          <w:ilvl w:val="0"/>
          <w:numId w:val="2"/>
        </w:numPr>
      </w:pPr>
      <w:r>
        <w:rPr>
          <w:rFonts w:ascii="Arial" w:cs="Arial" w:eastAsia="Arial" w:hAnsi="Arial"/>
          <w:sz w:val="22"/>
          <w:szCs w:val="22"/>
        </w:rPr>
        <w:t xml:space="preserve">Recovery ≠ Key Resurrection</w:t>
      </w:r>
    </w:p>
    <w:p>
      <w:pPr>
        <w:pStyle w:val="ListParagraph"/>
        <w:numPr>
          <w:ilvl w:val="0"/>
          <w:numId w:val="2"/>
        </w:numPr>
      </w:pPr>
      <w:r>
        <w:rPr>
          <w:rFonts w:ascii="Arial" w:cs="Arial" w:eastAsia="Arial" w:hAnsi="Arial"/>
          <w:sz w:val="22"/>
          <w:szCs w:val="22"/>
        </w:rPr>
        <w:t xml:space="preserve">Continuity ≠ Retroactivity</w:t>
      </w:r>
    </w:p>
    <w:p>
      <w:pPr>
        <w:pStyle w:val="ListParagraph"/>
        <w:numPr>
          <w:ilvl w:val="0"/>
          <w:numId w:val="2"/>
        </w:numPr>
      </w:pPr>
      <w:r>
        <w:rPr>
          <w:rFonts w:ascii="Arial" w:cs="Arial" w:eastAsia="Arial" w:hAnsi="Arial"/>
          <w:sz w:val="22"/>
          <w:szCs w:val="22"/>
        </w:rPr>
        <w:t xml:space="preserve">Seed Loss ≠ Total Loss (F2 recovery via guardians provides path forward)</w:t>
      </w:r>
    </w:p>
    <w:p>
      <w:pPr>
        <w:pStyle w:val="ListParagraph"/>
        <w:numPr>
          <w:ilvl w:val="0"/>
          <w:numId w:val="2"/>
        </w:numPr>
      </w:pPr>
      <w:r>
        <w:rPr>
          <w:rFonts w:ascii="Arial" w:cs="Arial" w:eastAsia="Arial" w:hAnsi="Arial"/>
          <w:sz w:val="22"/>
          <w:szCs w:val="22"/>
        </w:rPr>
        <w:t xml:space="preserve">Survivability ≠ Custody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11. Local Policy Engine</w:t>
      </w:r>
    </w:p>
    <w:p>
      <w:pPr>
        <w:pStyle w:val="Normal"/>
      </w:pPr>
      <w:r>
        <w:rPr>
          <w:rFonts w:ascii="Arial" w:cs="Arial" w:eastAsia="Arial" w:hAnsi="Arial"/>
        </w:rPr>
        <w:t xml:space="preserve">The Local Policy Engine answers: even if a valid WRA-derived execution key exists, should this transaction be allowed to proceed? In Synergy Wallet, policy is mandatory, pre-signature, and non-bypassable. If policy evaluation fails: no signature is produced, no transaction is constructed, no network broadcast occurs. There is no concept of 'sign now, review later.'</w:t>
      </w:r>
    </w:p>
    <w:p>
      <w:pPr>
        <w:spacing w:after="80"/>
      </w:pPr>
      <w:r>
        <w:t xml:space="preserve"/>
      </w:r>
    </w:p>
    <w:p>
      <w:pPr>
        <w:pStyle w:val="Heading2"/>
      </w:pPr>
      <w:r>
        <w:rPr>
          <w:rFonts w:ascii="Arial" w:cs="Arial" w:eastAsia="Arial" w:hAnsi="Arial"/>
        </w:rPr>
        <w:t xml:space="preserve">11.5 Policy Invariants</w:t>
      </w:r>
    </w:p>
    <w:p>
      <w:pPr>
        <w:pStyle w:val="ListParagraph"/>
        <w:numPr>
          <w:ilvl w:val="0"/>
          <w:numId w:val="2"/>
        </w:numPr>
      </w:pPr>
      <w:r>
        <w:rPr>
          <w:rFonts w:ascii="Arial" w:cs="Arial" w:eastAsia="Arial" w:hAnsi="Arial"/>
          <w:sz w:val="22"/>
          <w:szCs w:val="22"/>
        </w:rPr>
        <w:t xml:space="preserve">Policy ≠ Advisory</w:t>
      </w:r>
    </w:p>
    <w:p>
      <w:pPr>
        <w:pStyle w:val="ListParagraph"/>
        <w:numPr>
          <w:ilvl w:val="0"/>
          <w:numId w:val="2"/>
        </w:numPr>
      </w:pPr>
      <w:r>
        <w:rPr>
          <w:rFonts w:ascii="Arial" w:cs="Arial" w:eastAsia="Arial" w:hAnsi="Arial"/>
          <w:sz w:val="22"/>
          <w:szCs w:val="22"/>
        </w:rPr>
        <w:t xml:space="preserve">Policy ≠ Execution</w:t>
      </w:r>
    </w:p>
    <w:p>
      <w:pPr>
        <w:pStyle w:val="ListParagraph"/>
        <w:numPr>
          <w:ilvl w:val="0"/>
          <w:numId w:val="2"/>
        </w:numPr>
      </w:pPr>
      <w:r>
        <w:rPr>
          <w:rFonts w:ascii="Arial" w:cs="Arial" w:eastAsia="Arial" w:hAnsi="Arial"/>
          <w:sz w:val="22"/>
          <w:szCs w:val="22"/>
        </w:rPr>
        <w:t xml:space="preserve">Identity governs policy</w:t>
      </w:r>
    </w:p>
    <w:p>
      <w:pPr>
        <w:pStyle w:val="ListParagraph"/>
        <w:numPr>
          <w:ilvl w:val="0"/>
          <w:numId w:val="2"/>
        </w:numPr>
      </w:pPr>
      <w:r>
        <w:rPr>
          <w:rFonts w:ascii="Arial" w:cs="Arial" w:eastAsia="Arial" w:hAnsi="Arial"/>
          <w:sz w:val="22"/>
          <w:szCs w:val="22"/>
        </w:rPr>
        <w:t xml:space="preserve">Policy precedes signing</w:t>
      </w:r>
    </w:p>
    <w:p>
      <w:pPr>
        <w:pStyle w:val="ListParagraph"/>
        <w:numPr>
          <w:ilvl w:val="0"/>
          <w:numId w:val="2"/>
        </w:numPr>
      </w:pPr>
      <w:r>
        <w:rPr>
          <w:rFonts w:ascii="Arial" w:cs="Arial" w:eastAsia="Arial" w:hAnsi="Arial"/>
          <w:sz w:val="22"/>
          <w:szCs w:val="22"/>
        </w:rPr>
        <w:t xml:space="preserve">No policy bypass paths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12. Post-Quantum Architecture (Aegis)</w:t>
      </w:r>
    </w:p>
    <w:p>
      <w:pPr>
        <w:pStyle w:val="Heading2"/>
      </w:pPr>
      <w:r>
        <w:rPr>
          <w:rFonts w:ascii="Arial" w:cs="Arial" w:eastAsia="Arial" w:hAnsi="Arial"/>
        </w:rPr>
        <w:t xml:space="preserve">12.2 Aegis Algorithm Suite and Wallet Roles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4360"/>
      </w:tblGrid>
      <w:tr>
        <w:trPr>
          <w:tblHeader/>
        </w:trPr>
        <w:tc>
          <w:tcPr>
            <w:tcW w:type="dxa" w:w="1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Algorithm</w:t>
            </w:r>
          </w:p>
        </w:tc>
        <w:tc>
          <w:tcPr>
            <w:tcW w:type="dxa" w:w="12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Standard</w:t>
            </w:r>
          </w:p>
        </w:tc>
        <w:tc>
          <w:tcPr>
            <w:tcW w:type="dxa" w:w="1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Status</w:t>
            </w:r>
          </w:p>
        </w:tc>
        <w:tc>
          <w:tcPr>
            <w:tcW w:type="dxa" w:w="4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Role in Wallet</w:t>
            </w:r>
          </w:p>
        </w:tc>
      </w:tr>
      <w:tr>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ML-DSA</w:t>
            </w:r>
          </w:p>
        </w:tc>
        <w:tc>
          <w:tcPr>
            <w:tcW w:type="dxa" w:w="1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FIPS 204</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Active (baseline)</w:t>
            </w:r>
          </w:p>
        </w:tc>
        <w:tc>
          <w:tcPr>
            <w:tcW w:type="dxa" w:w="4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Identity authority, SNS governance, UMA routing governance, SXCP attestations, audit artifacts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ML-KEM</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FIPS 203</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Active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Encrypted wallet state, multi-device sync, guardian channels, recovery coordination</w:t>
            </w:r>
          </w:p>
        </w:tc>
      </w:tr>
      <w:tr>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FN-DSA</w:t>
            </w:r>
          </w:p>
        </w:tc>
        <w:tc>
          <w:tcPr>
            <w:tcW w:type="dxa" w:w="1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FIPS 206</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Active (conditional)</w:t>
            </w:r>
          </w:p>
        </w:tc>
        <w:tc>
          <w:tcPr>
            <w:tcW w:type="dxa" w:w="4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High-frequency validator attestations; only where explicitly specified by policy; NOT for high-stakes actions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HQC-KEM</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NIST selected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Active (backup KEM)</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Backup KEM activatable if ML-KEM confidence is compromised; code-based, independent of lattice assumptions</w:t>
            </w:r>
          </w:p>
        </w:tc>
      </w:tr>
      <w:tr>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SLH-DSA</w:t>
            </w:r>
          </w:p>
        </w:tc>
        <w:tc>
          <w:tcPr>
            <w:tcW w:type="dxa" w:w="1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FIPS 205</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Reserve</w:t>
            </w:r>
          </w:p>
        </w:tc>
        <w:tc>
          <w:tcPr>
            <w:tcW w:type="dxa" w:w="4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Not active: 8–50 KB signature sizes; hash-based security assumptions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CMCE-KEM</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NIST alternate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Reserve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Not active: 261 KB–1 MB public keys; primary reserve KEM with independent hardness basis</w:t>
            </w:r>
          </w:p>
        </w:tc>
      </w:tr>
    </w:tbl>
    <w:p>
      <w:pPr>
        <w:spacing w:after="80"/>
      </w:pPr>
      <w:r>
        <w:t xml:space="preserve"/>
      </w:r>
    </w:p>
    <w:p>
      <w:pPr>
        <w:pStyle w:val="Heading2"/>
      </w:pPr>
      <w:r>
        <w:rPr>
          <w:rFonts w:ascii="Arial" w:cs="Arial" w:eastAsia="Arial" w:hAnsi="Arial"/>
        </w:rPr>
        <w:t xml:space="preserve">12.7 Forward Migration Strategy</w:t>
      </w:r>
    </w:p>
    <w:p>
      <w:pPr>
        <w:pStyle w:val="ListParagraph"/>
        <w:numPr>
          <w:ilvl w:val="0"/>
          <w:numId w:val="3"/>
        </w:numPr>
      </w:pPr>
      <w:r>
        <w:rPr>
          <w:rFonts w:ascii="Arial" w:cs="Arial" w:eastAsia="Arial" w:hAnsi="Arial"/>
          <w:sz w:val="22"/>
          <w:szCs w:val="22"/>
        </w:rPr>
        <w:t xml:space="preserve">Phase 1 — PQC for identity, routing, and coordination only. (Current state.)</w:t>
      </w:r>
    </w:p>
    <w:p>
      <w:pPr>
        <w:pStyle w:val="ListParagraph"/>
        <w:numPr>
          <w:ilvl w:val="0"/>
          <w:numId w:val="3"/>
        </w:numPr>
      </w:pPr>
      <w:r>
        <w:rPr>
          <w:rFonts w:ascii="Arial" w:cs="Arial" w:eastAsia="Arial" w:hAnsi="Arial"/>
          <w:sz w:val="22"/>
          <w:szCs w:val="22"/>
        </w:rPr>
        <w:t xml:space="preserve">Phase 2 — Hybrid verification (classical + PQC) for all operations.</w:t>
      </w:r>
    </w:p>
    <w:p>
      <w:pPr>
        <w:pStyle w:val="ListParagraph"/>
        <w:numPr>
          <w:ilvl w:val="0"/>
          <w:numId w:val="3"/>
        </w:numPr>
      </w:pPr>
      <w:r>
        <w:rPr>
          <w:rFonts w:ascii="Arial" w:cs="Arial" w:eastAsia="Arial" w:hAnsi="Arial"/>
          <w:sz w:val="22"/>
          <w:szCs w:val="22"/>
        </w:rPr>
        <w:t xml:space="preserve">Phase 3 — Optional PQC execution on chains that natively support it.</w:t>
      </w:r>
    </w:p>
    <w:p>
      <w:pPr>
        <w:pStyle w:val="Normal"/>
      </w:pPr>
      <w:r>
        <w:rPr>
          <w:rFonts w:ascii="Arial" w:cs="Arial" w:eastAsia="Arial" w:hAnsi="Arial"/>
        </w:rPr>
        <w:t xml:space="preserve">At no stage is backward compatibility broken.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13. Threat Model and Security Analysis</w:t>
      </w:r>
    </w:p>
    <w:p>
      <w:pPr>
        <w:pStyle w:val="Heading2"/>
      </w:pPr>
      <w:r>
        <w:rPr>
          <w:rFonts w:ascii="Arial" w:cs="Arial" w:eastAsia="Arial" w:hAnsi="Arial"/>
        </w:rPr>
        <w:t xml:space="preserve">13.2 Threats Explicitly Mitigated</w:t>
      </w:r>
    </w:p>
    <w:p>
      <w:pPr>
        <w:pStyle w:val="ListParagraph"/>
        <w:numPr>
          <w:ilvl w:val="0"/>
          <w:numId w:val="2"/>
        </w:numPr>
      </w:pPr>
      <w:r>
        <w:rPr>
          <w:rFonts w:ascii="Arial" w:cs="Arial" w:eastAsia="Arial" w:hAnsi="Arial"/>
          <w:b/>
          <w:bCs/>
          <w:sz w:val="22"/>
          <w:szCs w:val="22"/>
        </w:rPr>
        <w:t xml:space="preserve">Seed Phrase Theft:</w:t>
      </w:r>
      <w:r>
        <w:rPr>
          <w:rFonts w:ascii="Arial" w:cs="Arial" w:eastAsia="Arial" w:hAnsi="Arial"/>
          <w:sz w:val="22"/>
          <w:szCs w:val="22"/>
        </w:rPr>
        <w:t xml:space="preserve"> WRA construction requires F2 alongside MS; mnemonic alone cannot derive operational keys.</w:t>
      </w:r>
    </w:p>
    <w:p>
      <w:pPr>
        <w:pStyle w:val="ListParagraph"/>
        <w:numPr>
          <w:ilvl w:val="0"/>
          <w:numId w:val="2"/>
        </w:numPr>
      </w:pPr>
      <w:r>
        <w:rPr>
          <w:rFonts w:ascii="Arial" w:cs="Arial" w:eastAsia="Arial" w:hAnsi="Arial"/>
          <w:b/>
          <w:bCs/>
          <w:sz w:val="22"/>
          <w:szCs w:val="22"/>
        </w:rPr>
        <w:t xml:space="preserve">Single-Key Compromise:</w:t>
      </w:r>
      <w:r>
        <w:rPr>
          <w:rFonts w:ascii="Arial" w:cs="Arial" w:eastAsia="Arial" w:hAnsi="Arial"/>
          <w:sz w:val="22"/>
          <w:szCs w:val="22"/>
        </w:rPr>
        <w:t xml:space="preserve"> Three-plane separation with non-overlapping authority; WRA domain isolation prevents lateral compromise.</w:t>
      </w:r>
    </w:p>
    <w:p>
      <w:pPr>
        <w:pStyle w:val="ListParagraph"/>
        <w:numPr>
          <w:ilvl w:val="0"/>
          <w:numId w:val="2"/>
        </w:numPr>
      </w:pPr>
      <w:r>
        <w:rPr>
          <w:rFonts w:ascii="Arial" w:cs="Arial" w:eastAsia="Arial" w:hAnsi="Arial"/>
          <w:b/>
          <w:bCs/>
          <w:sz w:val="22"/>
          <w:szCs w:val="22"/>
        </w:rPr>
        <w:t xml:space="preserve">Custodial Bridge Failure:</w:t>
      </w:r>
      <w:r>
        <w:rPr>
          <w:rFonts w:ascii="Arial" w:cs="Arial" w:eastAsia="Arial" w:hAnsi="Arial"/>
          <w:sz w:val="22"/>
          <w:szCs w:val="22"/>
        </w:rPr>
        <w:t xml:space="preserve"> SXCP explicitly avoids asset custody, wrapping, and pooled liquidity. No intermediate custody domain exists.</w:t>
      </w:r>
    </w:p>
    <w:p>
      <w:pPr>
        <w:pStyle w:val="ListParagraph"/>
        <w:numPr>
          <w:ilvl w:val="0"/>
          <w:numId w:val="2"/>
        </w:numPr>
      </w:pPr>
      <w:r>
        <w:rPr>
          <w:rFonts w:ascii="Arial" w:cs="Arial" w:eastAsia="Arial" w:hAnsi="Arial"/>
          <w:b/>
          <w:bCs/>
          <w:sz w:val="22"/>
          <w:szCs w:val="22"/>
        </w:rPr>
        <w:t xml:space="preserve">Routing Manipulation:</w:t>
      </w:r>
      <w:r>
        <w:rPr>
          <w:rFonts w:ascii="Arial" w:cs="Arial" w:eastAsia="Arial" w:hAnsi="Arial"/>
          <w:sz w:val="22"/>
          <w:szCs w:val="22"/>
        </w:rPr>
        <w:t xml:space="preserve"> Routing changes require ML-DSA identity authorization; versioned and non-authoritative for execution.</w:t>
      </w:r>
    </w:p>
    <w:p>
      <w:pPr>
        <w:pStyle w:val="ListParagraph"/>
        <w:numPr>
          <w:ilvl w:val="0"/>
          <w:numId w:val="2"/>
        </w:numPr>
      </w:pPr>
      <w:r>
        <w:rPr>
          <w:rFonts w:ascii="Arial" w:cs="Arial" w:eastAsia="Arial" w:hAnsi="Arial"/>
          <w:b/>
          <w:bCs/>
          <w:sz w:val="22"/>
          <w:szCs w:val="22"/>
        </w:rPr>
        <w:t xml:space="preserve">Quantum Adversaries:</w:t>
      </w:r>
      <w:r>
        <w:rPr>
          <w:rFonts w:ascii="Arial" w:cs="Arial" w:eastAsia="Arial" w:hAnsi="Arial"/>
          <w:sz w:val="22"/>
          <w:szCs w:val="22"/>
        </w:rPr>
        <w:t xml:space="preserve"> Parallel PQC authority (ML-DSA, ML-KEM) preserves identity, routing, and recovery even if execution keys degrade.</w:t>
      </w:r>
    </w:p>
    <w:p>
      <w:pPr>
        <w:spacing w:after="80"/>
      </w:pPr>
      <w:r>
        <w:t xml:space="preserve"/>
      </w:r>
    </w:p>
    <w:p>
      <w:pPr>
        <w:pStyle w:val="Heading2"/>
      </w:pPr>
      <w:r>
        <w:rPr>
          <w:rFonts w:ascii="Arial" w:cs="Arial" w:eastAsia="Arial" w:hAnsi="Arial"/>
        </w:rPr>
        <w:t xml:space="preserve">13.5 Failure Containment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Failure</w:t>
            </w:r>
          </w:p>
        </w:tc>
        <w:tc>
          <w:tcPr>
            <w:tcW w:type="dxa" w:w="5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Blast Radius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Mnemonic exposure</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None (WRA requires F2; Tier 2+ unaffected)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 key loss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Single chain, single generation; identity/routing intact</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F2 loss</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Recovery path via guardian-threshold F2 re-establishment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Routing error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 aborts safely before signing</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Identity compromise</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Governance-gated recovery; execution keys separately derived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Relayer failure</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Protocol timeout or reversion; compensation pool available</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14. Patent-Relevant Technical Effects</w:t>
      </w:r>
    </w:p>
    <w:p>
      <w:pPr>
        <w:pStyle w:val="Heading2"/>
      </w:pPr>
      <w:r>
        <w:rPr>
          <w:rFonts w:ascii="Arial" w:cs="Arial" w:eastAsia="Arial" w:hAnsi="Arial"/>
        </w:rPr>
        <w:t xml:space="preserve">14.1 Seed-Theft-Resistant Execution Authority (WRA Construction)</w:t>
      </w:r>
    </w:p>
    <w:p>
      <w:pPr>
        <w:pStyle w:val="Normal"/>
      </w:pPr>
      <w:r>
        <w:rPr>
          <w:rFonts w:ascii="Arial" w:cs="Arial" w:eastAsia="Arial" w:hAnsi="Arial"/>
        </w:rPr>
        <w:t xml:space="preserve">Technical effect: a cryptocurrency wallet where possession of the BIP-39 mnemonic phrase alone is computationally insufficient to derive any operational signing key. The novel construction WRA = HKDF(MS ‖ F2) introduces a two-factor derivation requirement enforced at the cryptographic root, prior to any domain expansion.</w:t>
      </w:r>
    </w:p>
    <w:p>
      <w:pPr>
        <w:spacing w:after="80"/>
      </w:pPr>
      <w:r>
        <w:t xml:space="preserve"/>
      </w:r>
    </w:p>
    <w:p>
      <w:pPr>
        <w:pStyle w:val="Heading2"/>
      </w:pPr>
      <w:r>
        <w:rPr>
          <w:rFonts w:ascii="Arial" w:cs="Arial" w:eastAsia="Arial" w:hAnsi="Arial"/>
        </w:rPr>
        <w:t xml:space="preserve">14.2 Seed Phrase Regeneration Without Historical Key Resurrection</w:t>
      </w:r>
    </w:p>
    <w:p>
      <w:pPr>
        <w:pStyle w:val="Normal"/>
      </w:pPr>
      <w:r>
        <w:rPr>
          <w:rFonts w:ascii="Arial" w:cs="Arial" w:eastAsia="Arial" w:hAnsi="Arial"/>
        </w:rPr>
        <w:t xml:space="preserve">Technical effect: after loss of the mnemonic, a user may re-establish wallet control via identity-anchored recovery without reconstructing historical execution keys. New execution derivation proceeds from a new WRA epoch without resurrecting deprecated authority.</w:t>
      </w:r>
    </w:p>
    <w:p>
      <w:pPr>
        <w:spacing w:after="80"/>
      </w:pPr>
      <w:r>
        <w:t xml:space="preserve"/>
      </w:r>
    </w:p>
    <w:p>
      <w:pPr>
        <w:pStyle w:val="Heading2"/>
      </w:pPr>
      <w:r>
        <w:rPr>
          <w:rFonts w:ascii="Arial" w:cs="Arial" w:eastAsia="Arial" w:hAnsi="Arial"/>
        </w:rPr>
        <w:t xml:space="preserve">14.3 Persistent Identity Independent of Execution Keys</w:t>
      </w:r>
    </w:p>
    <w:p>
      <w:pPr>
        <w:pStyle w:val="Normal"/>
      </w:pPr>
      <w:r>
        <w:rPr>
          <w:rFonts w:ascii="Arial" w:cs="Arial" w:eastAsia="Arial" w:hAnsi="Arial"/>
        </w:rPr>
        <w:t xml:space="preserve">Technical effect: a persistent cryptographic identity that survives loss of execution keys, device replacement, and cryptographic algorithm rotation without requiring custody or delegation. This breaks the long-standing equivalence: private key = identity = asset control.</w:t>
      </w:r>
    </w:p>
    <w:p>
      <w:pPr>
        <w:spacing w:after="80"/>
      </w:pPr>
      <w:r>
        <w:t xml:space="preserve"/>
      </w:r>
    </w:p>
    <w:p>
      <w:pPr>
        <w:pStyle w:val="Heading2"/>
      </w:pPr>
      <w:r>
        <w:rPr>
          <w:rFonts w:ascii="Arial" w:cs="Arial" w:eastAsia="Arial" w:hAnsi="Arial"/>
        </w:rPr>
        <w:t xml:space="preserve">14.4 Three-Plane Separation with Cryptographic Non-Overlap</w:t>
      </w:r>
    </w:p>
    <w:p>
      <w:pPr>
        <w:pStyle w:val="Normal"/>
      </w:pPr>
      <w:r>
        <w:rPr>
          <w:rFonts w:ascii="Arial" w:cs="Arial" w:eastAsia="Arial" w:hAnsi="Arial"/>
        </w:rPr>
        <w:t xml:space="preserve">Technical effect: three non-overlapping cryptographic planes where no key material from one plane can derive keys for another, authorize actions in another, or modify authority in another. Failure in one plane is structurally contained. Enforced by HKDF domain separation over WRA.</w:t>
      </w:r>
    </w:p>
    <w:p>
      <w:pPr>
        <w:spacing w:after="80"/>
      </w:pPr>
      <w:r>
        <w:t xml:space="preserve"/>
      </w:r>
    </w:p>
    <w:p>
      <w:pPr>
        <w:pStyle w:val="Heading2"/>
      </w:pPr>
      <w:r>
        <w:rPr>
          <w:rFonts w:ascii="Arial" w:cs="Arial" w:eastAsia="Arial" w:hAnsi="Arial"/>
        </w:rPr>
        <w:t xml:space="preserve">14.5 Revocable, Identity-Governed Routing Fabric (UMA)</w:t>
      </w:r>
    </w:p>
    <w:p>
      <w:pPr>
        <w:pStyle w:val="Normal"/>
      </w:pPr>
      <w:r>
        <w:rPr>
          <w:rFonts w:ascii="Arial" w:cs="Arial" w:eastAsia="Arial" w:hAnsi="Arial"/>
        </w:rPr>
        <w:t xml:space="preserve">Technical effect: a versioned routing construct that maps cryptographic identity to chain-specific addresses, supports rotation without asset migration, and remains non-authoritative for execution.</w:t>
      </w:r>
    </w:p>
    <w:p>
      <w:pPr>
        <w:spacing w:after="80"/>
      </w:pPr>
      <w:r>
        <w:t xml:space="preserve"/>
      </w:r>
    </w:p>
    <w:p>
      <w:pPr>
        <w:pStyle w:val="Heading2"/>
      </w:pPr>
      <w:r>
        <w:rPr>
          <w:rFonts w:ascii="Arial" w:cs="Arial" w:eastAsia="Arial" w:hAnsi="Arial"/>
        </w:rPr>
        <w:t xml:space="preserve">14.6 Bridgeless Cross-Chain Coordination (SXCP)</w:t>
      </w:r>
    </w:p>
    <w:p>
      <w:pPr>
        <w:pStyle w:val="Normal"/>
      </w:pPr>
      <w:r>
        <w:rPr>
          <w:rFonts w:ascii="Arial" w:cs="Arial" w:eastAsia="Arial" w:hAnsi="Arial"/>
        </w:rPr>
        <w:t xml:space="preserve">Technical effect: cross-chain value coordination without any intermediate custody domain, wrapped asset, pooled vault, or delegated signing. Source-chain and destination-chain execution both occur natively. SXCP coordinates correctness between native executions without ever holding or moving assets itself.</w:t>
      </w:r>
    </w:p>
    <w:p>
      <w:pPr>
        <w:spacing w:after="80"/>
      </w:pPr>
      <w:r>
        <w:t xml:space="preserve"/>
      </w:r>
    </w:p>
    <w:p>
      <w:pPr>
        <w:pStyle w:val="Heading2"/>
      </w:pPr>
      <w:r>
        <w:rPr>
          <w:rFonts w:ascii="Arial" w:cs="Arial" w:eastAsia="Arial" w:hAnsi="Arial"/>
        </w:rPr>
        <w:t xml:space="preserve">14.7 PQC Parallel Authority Without Execution Disruption</w:t>
      </w:r>
    </w:p>
    <w:p>
      <w:pPr>
        <w:pStyle w:val="Normal"/>
      </w:pPr>
      <w:r>
        <w:rPr>
          <w:rFonts w:ascii="Arial" w:cs="Arial" w:eastAsia="Arial" w:hAnsi="Arial"/>
        </w:rPr>
        <w:t xml:space="preserve">Technical effect: post-quantum signing authority coexisting alongside classical execution semantics without requiring chain upgrades or wallet replacement. Identity, routing, and recovery are secured by ML-DSA; external-chain execution continues classically until chain-native PQC is supported.</w:t>
      </w:r>
    </w:p>
    <w:p>
      <w:pPr>
        <w:spacing w:after="80"/>
      </w:pPr>
      <w:r>
        <w:t xml:space="preserve"/>
      </w:r>
    </w:p>
    <w:p>
      <w:pPr>
        <w:pStyle w:val="Heading2"/>
      </w:pPr>
      <w:r>
        <w:rPr>
          <w:rFonts w:ascii="Arial" w:cs="Arial" w:eastAsia="Arial" w:hAnsi="Arial"/>
        </w:rPr>
        <w:t xml:space="preserve">14.8 Summary of Patent-Relevant Effects</w:t>
      </w:r>
    </w:p>
    <w:p>
      <w:pPr>
        <w:pStyle w:val="ListParagraph"/>
        <w:numPr>
          <w:ilvl w:val="0"/>
          <w:numId w:val="2"/>
        </w:numPr>
      </w:pPr>
      <w:r>
        <w:rPr>
          <w:rFonts w:ascii="Arial" w:cs="Arial" w:eastAsia="Arial" w:hAnsi="Arial"/>
          <w:sz w:val="22"/>
          <w:szCs w:val="22"/>
        </w:rPr>
        <w:t xml:space="preserve">Seed-theft-resistant execution authority (WRA two-factor derivation)</w:t>
      </w:r>
    </w:p>
    <w:p>
      <w:pPr>
        <w:pStyle w:val="ListParagraph"/>
        <w:numPr>
          <w:ilvl w:val="0"/>
          <w:numId w:val="2"/>
        </w:numPr>
      </w:pPr>
      <w:r>
        <w:rPr>
          <w:rFonts w:ascii="Arial" w:cs="Arial" w:eastAsia="Arial" w:hAnsi="Arial"/>
          <w:sz w:val="22"/>
          <w:szCs w:val="22"/>
        </w:rPr>
        <w:t xml:space="preserve">Forward-only seed regeneration without key resurrection</w:t>
      </w:r>
    </w:p>
    <w:p>
      <w:pPr>
        <w:pStyle w:val="ListParagraph"/>
        <w:numPr>
          <w:ilvl w:val="0"/>
          <w:numId w:val="2"/>
        </w:numPr>
      </w:pPr>
      <w:r>
        <w:rPr>
          <w:rFonts w:ascii="Arial" w:cs="Arial" w:eastAsia="Arial" w:hAnsi="Arial"/>
          <w:sz w:val="22"/>
          <w:szCs w:val="22"/>
        </w:rPr>
        <w:t xml:space="preserve">Identity persistence independent of execution</w:t>
      </w:r>
    </w:p>
    <w:p>
      <w:pPr>
        <w:pStyle w:val="ListParagraph"/>
        <w:numPr>
          <w:ilvl w:val="0"/>
          <w:numId w:val="2"/>
        </w:numPr>
      </w:pPr>
      <w:r>
        <w:rPr>
          <w:rFonts w:ascii="Arial" w:cs="Arial" w:eastAsia="Arial" w:hAnsi="Arial"/>
          <w:sz w:val="22"/>
          <w:szCs w:val="22"/>
        </w:rPr>
        <w:t xml:space="preserve">Recovery without historical key reconstruction</w:t>
      </w:r>
    </w:p>
    <w:p>
      <w:pPr>
        <w:pStyle w:val="ListParagraph"/>
        <w:numPr>
          <w:ilvl w:val="0"/>
          <w:numId w:val="2"/>
        </w:numPr>
      </w:pPr>
      <w:r>
        <w:rPr>
          <w:rFonts w:ascii="Arial" w:cs="Arial" w:eastAsia="Arial" w:hAnsi="Arial"/>
          <w:sz w:val="22"/>
          <w:szCs w:val="22"/>
        </w:rPr>
        <w:t xml:space="preserve">Revocable routing without custody</w:t>
      </w:r>
    </w:p>
    <w:p>
      <w:pPr>
        <w:pStyle w:val="ListParagraph"/>
        <w:numPr>
          <w:ilvl w:val="0"/>
          <w:numId w:val="2"/>
        </w:numPr>
      </w:pPr>
      <w:r>
        <w:rPr>
          <w:rFonts w:ascii="Arial" w:cs="Arial" w:eastAsia="Arial" w:hAnsi="Arial"/>
          <w:sz w:val="22"/>
          <w:szCs w:val="22"/>
        </w:rPr>
        <w:t xml:space="preserve">Cross-chain execution without wrapping or custody</w:t>
      </w:r>
    </w:p>
    <w:p>
      <w:pPr>
        <w:pStyle w:val="ListParagraph"/>
        <w:numPr>
          <w:ilvl w:val="0"/>
          <w:numId w:val="2"/>
        </w:numPr>
      </w:pPr>
      <w:r>
        <w:rPr>
          <w:rFonts w:ascii="Arial" w:cs="Arial" w:eastAsia="Arial" w:hAnsi="Arial"/>
          <w:sz w:val="22"/>
          <w:szCs w:val="22"/>
        </w:rPr>
        <w:t xml:space="preserve">Deterministic multi-curve isolation</w:t>
      </w:r>
    </w:p>
    <w:p>
      <w:pPr>
        <w:pStyle w:val="ListParagraph"/>
        <w:numPr>
          <w:ilvl w:val="0"/>
          <w:numId w:val="2"/>
        </w:numPr>
      </w:pPr>
      <w:r>
        <w:rPr>
          <w:rFonts w:ascii="Arial" w:cs="Arial" w:eastAsia="Arial" w:hAnsi="Arial"/>
          <w:sz w:val="22"/>
          <w:szCs w:val="22"/>
        </w:rPr>
        <w:t xml:space="preserve">PQC coexistence without disruption</w:t>
      </w:r>
    </w:p>
    <w:p>
      <w:pPr>
        <w:pStyle w:val="ListParagraph"/>
        <w:numPr>
          <w:ilvl w:val="0"/>
          <w:numId w:val="2"/>
        </w:numPr>
      </w:pPr>
      <w:r>
        <w:rPr>
          <w:rFonts w:ascii="Arial" w:cs="Arial" w:eastAsia="Arial" w:hAnsi="Arial"/>
          <w:sz w:val="22"/>
          <w:szCs w:val="22"/>
        </w:rPr>
        <w:t xml:space="preserve">Survivable wallets under partial cryptographic failure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15. Conclusion — Canonical System Positioning</w:t>
      </w:r>
    </w:p>
    <w:p>
      <w:pPr>
        <w:pStyle w:val="Heading2"/>
      </w:pPr>
      <w:r>
        <w:rPr>
          <w:rFonts w:ascii="Arial" w:cs="Arial" w:eastAsia="Arial" w:hAnsi="Arial"/>
        </w:rPr>
        <w:t xml:space="preserve">15.3 Canonical Invariants</w:t>
      </w:r>
    </w:p>
    <w:p>
      <w:pPr>
        <w:pStyle w:val="Normal"/>
      </w:pPr>
      <w:r>
        <w:rPr>
          <w:rFonts w:ascii="Arial" w:cs="Arial" w:eastAsia="Arial" w:hAnsi="Arial"/>
        </w:rPr>
        <w:t xml:space="preserve">The following invariants define Synergy Wallet. If an implementation violates any of these, it is not a Synergy Wallet:</w:t>
      </w:r>
    </w:p>
    <w:p>
      <w:pPr>
        <w:pStyle w:val="ListParagraph"/>
        <w:numPr>
          <w:ilvl w:val="0"/>
          <w:numId w:val="2"/>
        </w:numPr>
      </w:pPr>
      <w:r>
        <w:rPr>
          <w:rFonts w:ascii="Arial" w:cs="Arial" w:eastAsia="Arial" w:hAnsi="Arial"/>
          <w:sz w:val="22"/>
          <w:szCs w:val="22"/>
        </w:rPr>
        <w:t xml:space="preserve">Mnemonic alone does not authorize spending or recovery</w:t>
      </w:r>
    </w:p>
    <w:p>
      <w:pPr>
        <w:pStyle w:val="ListParagraph"/>
        <w:numPr>
          <w:ilvl w:val="0"/>
          <w:numId w:val="2"/>
        </w:numPr>
      </w:pPr>
      <w:r>
        <w:rPr>
          <w:rFonts w:ascii="Arial" w:cs="Arial" w:eastAsia="Arial" w:hAnsi="Arial"/>
          <w:sz w:val="22"/>
          <w:szCs w:val="22"/>
        </w:rPr>
        <w:t xml:space="preserve">Identity authority never executes value</w:t>
      </w:r>
    </w:p>
    <w:p>
      <w:pPr>
        <w:pStyle w:val="ListParagraph"/>
        <w:numPr>
          <w:ilvl w:val="0"/>
          <w:numId w:val="2"/>
        </w:numPr>
      </w:pPr>
      <w:r>
        <w:rPr>
          <w:rFonts w:ascii="Arial" w:cs="Arial" w:eastAsia="Arial" w:hAnsi="Arial"/>
          <w:sz w:val="22"/>
          <w:szCs w:val="22"/>
        </w:rPr>
        <w:t xml:space="preserve">Execution authority never governs identity</w:t>
      </w:r>
    </w:p>
    <w:p>
      <w:pPr>
        <w:pStyle w:val="ListParagraph"/>
        <w:numPr>
          <w:ilvl w:val="0"/>
          <w:numId w:val="2"/>
        </w:numPr>
      </w:pPr>
      <w:r>
        <w:rPr>
          <w:rFonts w:ascii="Arial" w:cs="Arial" w:eastAsia="Arial" w:hAnsi="Arial"/>
          <w:sz w:val="22"/>
          <w:szCs w:val="22"/>
        </w:rPr>
        <w:t xml:space="preserve">Routing determines intent, not permission</w:t>
      </w:r>
    </w:p>
    <w:p>
      <w:pPr>
        <w:pStyle w:val="ListParagraph"/>
        <w:numPr>
          <w:ilvl w:val="0"/>
          <w:numId w:val="2"/>
        </w:numPr>
      </w:pPr>
      <w:r>
        <w:rPr>
          <w:rFonts w:ascii="Arial" w:cs="Arial" w:eastAsia="Arial" w:hAnsi="Arial"/>
          <w:sz w:val="22"/>
          <w:szCs w:val="22"/>
        </w:rPr>
        <w:t xml:space="preserve">Recovery restores future control, not history</w:t>
      </w:r>
    </w:p>
    <w:p>
      <w:pPr>
        <w:pStyle w:val="ListParagraph"/>
        <w:numPr>
          <w:ilvl w:val="0"/>
          <w:numId w:val="2"/>
        </w:numPr>
      </w:pPr>
      <w:r>
        <w:rPr>
          <w:rFonts w:ascii="Arial" w:cs="Arial" w:eastAsia="Arial" w:hAnsi="Arial"/>
          <w:sz w:val="22"/>
          <w:szCs w:val="22"/>
        </w:rPr>
        <w:t xml:space="preserve">Coordination never becomes custody</w:t>
      </w:r>
    </w:p>
    <w:p>
      <w:pPr>
        <w:pStyle w:val="ListParagraph"/>
        <w:numPr>
          <w:ilvl w:val="0"/>
          <w:numId w:val="2"/>
        </w:numPr>
      </w:pPr>
      <w:r>
        <w:rPr>
          <w:rFonts w:ascii="Arial" w:cs="Arial" w:eastAsia="Arial" w:hAnsi="Arial"/>
          <w:sz w:val="22"/>
          <w:szCs w:val="22"/>
        </w:rPr>
        <w:t xml:space="preserve">Cryptographic migration never breaks compatibility</w:t>
      </w:r>
    </w:p>
    <w:p>
      <w:pPr>
        <w:pStyle w:val="ListParagraph"/>
        <w:numPr>
          <w:ilvl w:val="0"/>
          <w:numId w:val="2"/>
        </w:numPr>
      </w:pPr>
      <w:r>
        <w:rPr>
          <w:rFonts w:ascii="Arial" w:cs="Arial" w:eastAsia="Arial" w:hAnsi="Arial"/>
          <w:sz w:val="22"/>
          <w:szCs w:val="22"/>
        </w:rPr>
        <w:t xml:space="preserve">ML-DSA is the authoritative signing baseline for protocol-governed roles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Synergy Wallet — Technical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2026-03-14T00:33:44.769Z</dcterms:created>
  <dcterms:modified xsi:type="dcterms:W3CDTF">2026-03-14T00:33:44.770Z</dcterms:modified>
</cp:coreProperties>
</file>

<file path=docProps/custom.xml><?xml version="1.0" encoding="utf-8"?>
<Properties xmlns="http://schemas.openxmlformats.org/officeDocument/2006/custom-properties" xmlns:vt="http://schemas.openxmlformats.org/officeDocument/2006/docPropsVTypes"/>
</file>