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Post-Quantum Cryptography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Aegis — Synergy Network's Cryptographic Foundation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is built with native support for post-quantum cryptography (PQC), ensuring long-term security against future threats posed by quantum computing. By adopting quantum-resistant algorithms from the outset, Synergy protects all network participants, wallet holders, and smart contracts from potential cryptographic vulnerabilities.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Why Post-Quantum Security Matters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Classical cryptographic algorithms (e.g., RSA, ECDSA) are vulnerable to quantum attacks using Shor's algorithm.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Quantum computers capable of breaking current cryptography may be realized within the next decade.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Blockchain systems must proactively adopt quantum-safe mechanisms to ensure forward security.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Cryptographic Standards Used</w:t>
      </w:r>
    </w:p>
    <w:p>
      <w:pPr>
        <w:pStyle w:val="Heading2"/>
      </w:pPr>
      <w:r>
        <w:rPr>
          <w:rFonts w:ascii="Arial" w:cs="Arial" w:eastAsia="Arial" w:hAnsi="Arial"/>
        </w:rPr>
        <w:t xml:space="preserve">3.1 Digital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Algorithm:</w:t>
      </w:r>
      <w:r>
        <w:rPr>
          <w:rFonts w:ascii="Arial" w:cs="Arial" w:eastAsia="Arial" w:hAnsi="Arial"/>
          <w:sz w:val="22"/>
          <w:szCs w:val="22"/>
        </w:rPr>
        <w:t xml:space="preserve"> Dilithium-3 (NIST PQC standard)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Usage:</w:t>
      </w:r>
      <w:r>
        <w:rPr>
          <w:rFonts w:ascii="Arial" w:cs="Arial" w:eastAsia="Arial" w:hAnsi="Arial"/>
          <w:sz w:val="22"/>
          <w:szCs w:val="22"/>
        </w:rPr>
        <w:t xml:space="preserve"> Wallets, transactions, block signing</w:t>
      </w:r>
    </w:p>
    <w:p>
      <w:pPr>
        <w:pStyle w:val="Normal"/>
      </w:pPr>
      <w:r>
        <w:rPr>
          <w:rFonts w:ascii="Arial" w:cs="Arial" w:eastAsia="Arial" w:hAnsi="Arial"/>
        </w:rPr>
        <w:t xml:space="preserve">Properties: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Lattice-based cryptography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 keys and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throughput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Hybrid Encryption (Planned)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Algorithm:</w:t>
      </w:r>
      <w:r>
        <w:rPr>
          <w:rFonts w:ascii="Arial" w:cs="Arial" w:eastAsia="Arial" w:hAnsi="Arial"/>
          <w:sz w:val="22"/>
          <w:szCs w:val="22"/>
        </w:rPr>
        <w:t xml:space="preserve"> Kyber (for shared key establishment)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Usage:</w:t>
      </w:r>
      <w:r>
        <w:rPr>
          <w:rFonts w:ascii="Arial" w:cs="Arial" w:eastAsia="Arial" w:hAnsi="Arial"/>
          <w:sz w:val="22"/>
          <w:szCs w:val="22"/>
        </w:rPr>
        <w:t xml:space="preserve"> Optional secure messaging and identity proofs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Mode:</w:t>
      </w:r>
      <w:r>
        <w:rPr>
          <w:rFonts w:ascii="Arial" w:cs="Arial" w:eastAsia="Arial" w:hAnsi="Arial"/>
          <w:sz w:val="22"/>
          <w:szCs w:val="22"/>
        </w:rPr>
        <w:t xml:space="preserve"> Kyber + AES-GCM for hybrid authenticated encryption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Address and Key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Wallets generate keys using a BIP-39 compatible PQC scheme.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keys are hashed using SHA3-256 or BLAKE3.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Encoded using Bech32m format for addresses (e.g., sYnQ1...).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PQC keypair derived deterministically from 24-word seed phrase.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Security Properties</w:t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Dilithium-3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Kyber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 Safe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Signatures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Key Size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~1.3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~800 bytes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Size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~2.4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Implementation in Synergy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Signing implemented via Rust and WebAssembly bindings.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Integrated in wallet CLI, GUI, and smart contract execution engine.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RPC calls support Dilithium signature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storage is encrypted locally and can be backed up offline.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Compatibility with External Chains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 (Universal Meta-Addresses) use PQC internally but can sign on other chains via threshold signature bridges.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clusters act as FROST/TSS signers for Bitcoin and Ethereum interoperability.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 integrations planned with zk-proofs and encrypted identity attestations.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Best Practices for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backup your seed phrase securely.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CLI or hardware wallet options for critical transactions.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wallet software updated to maintain compatibility with evolving PQC standards.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Research and 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zkPQC:</w:t>
      </w:r>
      <w:r>
        <w:rPr>
          <w:rFonts w:ascii="Arial" w:cs="Arial" w:eastAsia="Arial" w:hAnsi="Arial"/>
          <w:sz w:val="22"/>
          <w:szCs w:val="22"/>
        </w:rPr>
        <w:t xml:space="preserve"> Investigate zero-knowledge proof systems that use lattice-based assumptions.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Post-Quantum Multisig:</w:t>
      </w:r>
      <w:r>
        <w:rPr>
          <w:rFonts w:ascii="Arial" w:cs="Arial" w:eastAsia="Arial" w:hAnsi="Arial"/>
          <w:sz w:val="22"/>
          <w:szCs w:val="22"/>
        </w:rPr>
        <w:t xml:space="preserve"> Multi-party signing using Dilithium (draft specs under review).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Threshold PQC Wallets:</w:t>
      </w:r>
      <w:r>
        <w:rPr>
          <w:rFonts w:ascii="Arial" w:cs="Arial" w:eastAsia="Arial" w:hAnsi="Arial"/>
          <w:sz w:val="22"/>
          <w:szCs w:val="22"/>
        </w:rPr>
        <w:t xml:space="preserve"> Split signing key across multiple devices for enhanced cold storage.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is among the first blockchain platforms to implement post-quantum cryptography as a foundational feature. By leveraging state-of-the-art PQC algorithms like Dilithium and Kyber, the network ensures that its infrastructure is resilient, future-ready, and secure against quantum-era threats.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Post-Quantum Cryptography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2026-03-13T18:47:32.519Z</dcterms:created>
  <dcterms:modified xsi:type="dcterms:W3CDTF">2026-03-13T18:47:32.520Z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