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Treasury Management</w:t>
      </w:r>
    </w:p>
    <w:p>
      <w:pPr>
        <w:spacing w:before="0" w:after="480"/>
        <w:jc w:val="center"/>
      </w:pPr>
      <w:r>
        <w:rPr>
          <w:rFonts w:ascii="Arial" w:cs="Arial" w:eastAsia="Arial" w:hAnsi="Arial"/>
          <w:color w:val="0060FF"/>
          <w:sz w:val="32"/>
          <w:szCs w:val="32"/>
        </w:rPr>
        <w:t xml:space="preserve">Decentralized Fund Allocation — Synergy Network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Overview</w:t>
      </w:r>
    </w:p>
    <w:p>
      <w:pPr>
        <w:pStyle w:val="Normal"/>
      </w:pPr>
      <w:r>
        <w:rPr>
          <w:rFonts w:ascii="Arial" w:cs="Arial" w:eastAsia="Arial" w:hAnsi="Arial"/>
        </w:rPr>
        <w:t xml:space="preserve">The Synergy Network Treasury is a decentralized, on-chain fund allocation system governed by the DAO. It ensures transparent funding of ecosystem development, validator rewards, community initiatives, and emergency reserves. All spending proposals and transactions are subject to governance approval and audit.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Treasury Funding Sources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Source</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Token Supply Allocation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25% of SYN total supply reserved for treasury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Transaction Fees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25% of each transaction fee is routed to treasury</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Slashing Events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Penalized SYN is partially redirected to treasury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Unclaimed Grants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Returned to treasury after expiration</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Governance Control</w:t>
      </w:r>
    </w:p>
    <w:p>
      <w:pPr>
        <w:pStyle w:val="ListParagraph"/>
        <w:numPr>
          <w:ilvl w:val="0"/>
          <w:numId w:val="2"/>
        </w:numPr>
      </w:pPr>
      <w:r>
        <w:rPr>
          <w:rFonts w:ascii="Arial" w:cs="Arial" w:eastAsia="Arial" w:hAnsi="Arial"/>
          <w:sz w:val="22"/>
          <w:szCs w:val="22"/>
        </w:rPr>
        <w:t xml:space="preserve">Treasury fund usage requires a passed proposal.</w:t>
      </w:r>
    </w:p>
    <w:p>
      <w:pPr>
        <w:pStyle w:val="ListParagraph"/>
        <w:numPr>
          <w:ilvl w:val="0"/>
          <w:numId w:val="2"/>
        </w:numPr>
      </w:pPr>
      <w:r>
        <w:rPr>
          <w:rFonts w:ascii="Arial" w:cs="Arial" w:eastAsia="Arial" w:hAnsi="Arial"/>
          <w:sz w:val="22"/>
          <w:szCs w:val="22"/>
        </w:rPr>
        <w:t xml:space="preserve">Proposals must include amount, recipient wallet, milestone plan, and post-use audit commitment.</w:t>
      </w:r>
    </w:p>
    <w:p>
      <w:pPr>
        <w:pStyle w:val="ListParagraph"/>
        <w:numPr>
          <w:ilvl w:val="0"/>
          <w:numId w:val="2"/>
        </w:numPr>
      </w:pPr>
      <w:r>
        <w:rPr>
          <w:rFonts w:ascii="Arial" w:cs="Arial" w:eastAsia="Arial" w:hAnsi="Arial"/>
          <w:sz w:val="22"/>
          <w:szCs w:val="22"/>
        </w:rPr>
        <w:t xml:space="preserve">Governance Auditors review all large expenditures.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Allocation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Category</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Developer Grants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dApp, SDK, or protocol improvement funding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Infrastructure Support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Node hosting subsidies, explorer services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Ecosystem Bounties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Hackathons, testing competitions, audits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Community Projects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Events, content creation, advocacy funds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Emergency Reserves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Available only during rollback/emergency votes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Proposal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Requirement</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Minimum Stake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2,000 SYN locked during voting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SP Requirement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Synergy Score &gt;= 60</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Proof of Need</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Grant plans, GitHub links, or budget statements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Deliverable Milestones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Required for phased payouts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Multi-Sig and DAO Security</w:t>
      </w:r>
    </w:p>
    <w:p>
      <w:pPr>
        <w:pStyle w:val="ListParagraph"/>
        <w:numPr>
          <w:ilvl w:val="0"/>
          <w:numId w:val="2"/>
        </w:numPr>
      </w:pPr>
      <w:r>
        <w:rPr>
          <w:rFonts w:ascii="Arial" w:cs="Arial" w:eastAsia="Arial" w:hAnsi="Arial"/>
          <w:sz w:val="22"/>
          <w:szCs w:val="22"/>
        </w:rPr>
        <w:t xml:space="preserve">DAO Council manages initial proposal execution via 4-of-6 multisig.</w:t>
      </w:r>
    </w:p>
    <w:p>
      <w:pPr>
        <w:pStyle w:val="ListParagraph"/>
        <w:numPr>
          <w:ilvl w:val="0"/>
          <w:numId w:val="2"/>
        </w:numPr>
      </w:pPr>
      <w:r>
        <w:rPr>
          <w:rFonts w:ascii="Arial" w:cs="Arial" w:eastAsia="Arial" w:hAnsi="Arial"/>
          <w:sz w:val="22"/>
          <w:szCs w:val="22"/>
        </w:rPr>
        <w:t xml:space="preserve">Smart contracts will fully automate execution after validator threshold is reached.</w:t>
      </w:r>
    </w:p>
    <w:p>
      <w:pPr>
        <w:pStyle w:val="Normal"/>
      </w:pPr>
      <w:r>
        <w:rPr>
          <w:rFonts w:ascii="Arial" w:cs="Arial" w:eastAsia="Arial" w:hAnsi="Arial"/>
        </w:rPr>
        <w:t xml:space="preserve">Emergency withdrawal lock requires:</w:t>
      </w:r>
    </w:p>
    <w:p>
      <w:pPr>
        <w:pStyle w:val="ListParagraph"/>
        <w:numPr>
          <w:ilvl w:val="1"/>
          <w:numId w:val="2"/>
        </w:numPr>
      </w:pPr>
      <w:r>
        <w:rPr>
          <w:rFonts w:ascii="Arial" w:cs="Arial" w:eastAsia="Arial" w:hAnsi="Arial"/>
          <w:sz w:val="22"/>
          <w:szCs w:val="22"/>
        </w:rPr>
        <w:t xml:space="preserve">75% DAO approval.</w:t>
      </w:r>
    </w:p>
    <w:p>
      <w:pPr>
        <w:pStyle w:val="ListParagraph"/>
        <w:numPr>
          <w:ilvl w:val="1"/>
          <w:numId w:val="2"/>
        </w:numPr>
      </w:pPr>
      <w:r>
        <w:rPr>
          <w:rFonts w:ascii="Arial" w:cs="Arial" w:eastAsia="Arial" w:hAnsi="Arial"/>
          <w:sz w:val="22"/>
          <w:szCs w:val="22"/>
        </w:rPr>
        <w:t xml:space="preserve">10% voter turnout minimum.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Treasury Analytics and Transparency</w:t>
      </w:r>
    </w:p>
    <w:p>
      <w:pPr>
        <w:pStyle w:val="Normal"/>
      </w:pPr>
      <w:r>
        <w:rPr>
          <w:rFonts w:ascii="Arial" w:cs="Arial" w:eastAsia="Arial" w:hAnsi="Arial"/>
        </w:rPr>
        <w:t xml:space="preserve">Real-time dashboard at: https://explorer.synergy-network.io/treasury</w:t>
      </w:r>
    </w:p>
    <w:p>
      <w:pPr>
        <w:pStyle w:val="Normal"/>
      </w:pPr>
      <w:r>
        <w:rPr>
          <w:rFonts w:ascii="Arial" w:cs="Arial" w:eastAsia="Arial" w:hAnsi="Arial"/>
        </w:rPr>
        <w:t xml:space="preserve">Dashboard categories:</w:t>
      </w:r>
    </w:p>
    <w:p>
      <w:pPr>
        <w:pStyle w:val="ListParagraph"/>
        <w:numPr>
          <w:ilvl w:val="0"/>
          <w:numId w:val="2"/>
        </w:numPr>
      </w:pPr>
      <w:r>
        <w:rPr>
          <w:rFonts w:ascii="Arial" w:cs="Arial" w:eastAsia="Arial" w:hAnsi="Arial"/>
          <w:sz w:val="22"/>
          <w:szCs w:val="22"/>
        </w:rPr>
        <w:t xml:space="preserve">Incoming flow (fees, slashing)</w:t>
      </w:r>
    </w:p>
    <w:p>
      <w:pPr>
        <w:pStyle w:val="ListParagraph"/>
        <w:numPr>
          <w:ilvl w:val="0"/>
          <w:numId w:val="2"/>
        </w:numPr>
      </w:pPr>
      <w:r>
        <w:rPr>
          <w:rFonts w:ascii="Arial" w:cs="Arial" w:eastAsia="Arial" w:hAnsi="Arial"/>
          <w:sz w:val="22"/>
          <w:szCs w:val="22"/>
        </w:rPr>
        <w:t xml:space="preserve">Outgoing payments by category</w:t>
      </w:r>
    </w:p>
    <w:p>
      <w:pPr>
        <w:pStyle w:val="ListParagraph"/>
        <w:numPr>
          <w:ilvl w:val="0"/>
          <w:numId w:val="2"/>
        </w:numPr>
      </w:pPr>
      <w:r>
        <w:rPr>
          <w:rFonts w:ascii="Arial" w:cs="Arial" w:eastAsia="Arial" w:hAnsi="Arial"/>
          <w:sz w:val="22"/>
          <w:szCs w:val="22"/>
        </w:rPr>
        <w:t xml:space="preserve">Active proposal allocation schedules</w:t>
      </w:r>
    </w:p>
    <w:p>
      <w:pPr>
        <w:pStyle w:val="ListParagraph"/>
        <w:numPr>
          <w:ilvl w:val="0"/>
          <w:numId w:val="2"/>
        </w:numPr>
      </w:pPr>
      <w:r>
        <w:rPr>
          <w:rFonts w:ascii="Arial" w:cs="Arial" w:eastAsia="Arial" w:hAnsi="Arial"/>
          <w:sz w:val="22"/>
          <w:szCs w:val="22"/>
        </w:rPr>
        <w:t xml:space="preserve">Full history exportable in CSV/JSON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Treasury Smart Contract Operations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Function</w:t>
            </w:r>
          </w:p>
        </w:tc>
        <w:tc>
          <w:tcPr>
            <w:tcW w:type="dxa" w:w="57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allocateGrant(address, amt)</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Assign funds to project address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releaseMilestone(id)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Trigger payment for completed milestone</w:t>
            </w:r>
          </w:p>
        </w:tc>
      </w:tr>
      <w:tr>
        <w:tc>
          <w:tcPr>
            <w:tcW w:type="dxa" w:w="36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reclaimUnspent(id)</w:t>
            </w:r>
          </w:p>
        </w:tc>
        <w:tc>
          <w:tcPr>
            <w:tcW w:type="dxa" w:w="5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Return unused funds to treasury</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auditRecord(id, hash)</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Log audit reports for funded grants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Long-Term Treasury Sustainability Plan</w:t>
      </w:r>
    </w:p>
    <w:p>
      <w:pPr>
        <w:pStyle w:val="Normal"/>
      </w:pPr>
      <w:r>
        <w:rPr>
          <w:rFonts w:ascii="Arial" w:cs="Arial" w:eastAsia="Arial" w:hAnsi="Arial"/>
        </w:rPr>
        <w:t xml:space="preserve">The DAO may vote to:</w:t>
      </w:r>
    </w:p>
    <w:p>
      <w:pPr>
        <w:pStyle w:val="ListParagraph"/>
        <w:numPr>
          <w:ilvl w:val="0"/>
          <w:numId w:val="2"/>
        </w:numPr>
      </w:pPr>
      <w:r>
        <w:rPr>
          <w:rFonts w:ascii="Arial" w:cs="Arial" w:eastAsia="Arial" w:hAnsi="Arial"/>
          <w:sz w:val="22"/>
          <w:szCs w:val="22"/>
        </w:rPr>
        <w:t xml:space="preserve">Adjust the percentage of fees routed to treasury.</w:t>
      </w:r>
    </w:p>
    <w:p>
      <w:pPr>
        <w:pStyle w:val="ListParagraph"/>
        <w:numPr>
          <w:ilvl w:val="0"/>
          <w:numId w:val="2"/>
        </w:numPr>
      </w:pPr>
      <w:r>
        <w:rPr>
          <w:rFonts w:ascii="Arial" w:cs="Arial" w:eastAsia="Arial" w:hAnsi="Arial"/>
          <w:sz w:val="22"/>
          <w:szCs w:val="22"/>
        </w:rPr>
        <w:t xml:space="preserve">Introduce revenue from protocol services (e.g., SNS, UMA mapping).</w:t>
      </w:r>
    </w:p>
    <w:p>
      <w:pPr>
        <w:pStyle w:val="ListParagraph"/>
        <w:numPr>
          <w:ilvl w:val="0"/>
          <w:numId w:val="2"/>
        </w:numPr>
      </w:pPr>
      <w:r>
        <w:rPr>
          <w:rFonts w:ascii="Arial" w:cs="Arial" w:eastAsia="Arial" w:hAnsi="Arial"/>
          <w:sz w:val="22"/>
          <w:szCs w:val="22"/>
        </w:rPr>
        <w:t xml:space="preserve">Establish investment strategies via approved DeFi protocols (coming post-audit).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Treasury management is central to Synergy Network's community-driven future. With transparent mechanisms, rigorous oversight, and inclusive funding access, it empowers builders, validators, and advocates to grow the ecosystem responsibly and sustainably.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Treasury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2026-03-13T18:54:15.874Z</dcterms:created>
  <dcterms:modified xsi:type="dcterms:W3CDTF">2026-03-13T18:54:15.875Z</dcterms:modified>
</cp:coreProperties>
</file>

<file path=docProps/custom.xml><?xml version="1.0" encoding="utf-8"?>
<Properties xmlns="http://schemas.openxmlformats.org/officeDocument/2006/custom-properties" xmlns:vt="http://schemas.openxmlformats.org/officeDocument/2006/docPropsVTypes"/>
</file>