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Governance Organizational Chart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DAO Structure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DAO is a decentralized governance framework designed to empower token holders and validators in shaping the evolution of the network. Governance is structured through weighted voting mechanisms, Synergy Score-based influence, and a transparent proposal lifecycle.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Governance Roles &amp; Responsibilities</w:t>
      </w:r>
    </w:p>
    <w:p>
      <w:pPr>
        <w:pStyle w:val="Heading2"/>
      </w:pPr>
      <w:r>
        <w:rPr>
          <w:rFonts w:ascii="Arial" w:cs="Arial" w:eastAsia="Arial" w:hAnsi="Arial"/>
        </w:rPr>
        <w:t xml:space="preserve">2.1 Core Governance Entities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 DAO Council:</w:t>
      </w:r>
      <w:r>
        <w:rPr>
          <w:rFonts w:ascii="Arial" w:cs="Arial" w:eastAsia="Arial" w:hAnsi="Arial"/>
          <w:sz w:val="22"/>
          <w:szCs w:val="22"/>
        </w:rPr>
        <w:t xml:space="preserve"> The highest decision-making body responsible for overseeing protocol upgrades, treasury allocations, and governance amendments.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Validator Clusters:</w:t>
      </w:r>
      <w:r>
        <w:rPr>
          <w:rFonts w:ascii="Arial" w:cs="Arial" w:eastAsia="Arial" w:hAnsi="Arial"/>
          <w:sz w:val="22"/>
          <w:szCs w:val="22"/>
        </w:rPr>
        <w:t xml:space="preserve"> Groups of validators that propose optimizations and participate in governance voting.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Proposers:</w:t>
      </w:r>
      <w:r>
        <w:rPr>
          <w:rFonts w:ascii="Arial" w:cs="Arial" w:eastAsia="Arial" w:hAnsi="Arial"/>
          <w:sz w:val="22"/>
          <w:szCs w:val="22"/>
        </w:rPr>
        <w:t xml:space="preserve"> Any SYN holder with sufficient Synergy Score can submit governance proposals.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Governance Auditors:</w:t>
      </w:r>
      <w:r>
        <w:rPr>
          <w:rFonts w:ascii="Arial" w:cs="Arial" w:eastAsia="Arial" w:hAnsi="Arial"/>
          <w:sz w:val="22"/>
          <w:szCs w:val="22"/>
        </w:rPr>
        <w:t xml:space="preserve"> A rotating set of community-nominated participants that ensure compliance with DAO rules.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Role-Based Voting Weight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 Weight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 DAO Council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Validators (Staked SYN &amp; Synergy Score Weighted)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Token Holders (Quadratic Weighted Voting)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Auditors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 (oversight influence)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Voting Mechanics &amp; Proposal Flow</w:t>
      </w:r>
    </w:p>
    <w:p>
      <w:pPr>
        <w:pStyle w:val="Heading2"/>
      </w:pPr>
      <w:r>
        <w:rPr>
          <w:rFonts w:ascii="Arial" w:cs="Arial" w:eastAsia="Arial" w:hAnsi="Arial"/>
        </w:rPr>
        <w:t xml:space="preserve">3.1 Quadratic Voting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Governance participants use quadratic voting to ensure fair influence among all contributors.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holdings and Synergy Scores influence voting weight.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Proposal Lifecycle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Proposal Submission — A community member submits a proposal with at least the required Synergy Score threshold.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 &amp; Endorsement — Governance Auditors verify compliance; Validator Clusters review technical feasibility.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Voting Period — A set timeframe (7 days) for on-chain voting.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Execution — If passed, the ProposalHandler contract executes the changes.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Post-Implementation Review — A 14-day observation period to monitor impacts.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Governance Enforcement &amp; Treasury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DAO Treasury Oversight:</w:t>
      </w:r>
      <w:r>
        <w:rPr>
          <w:rFonts w:ascii="Arial" w:cs="Arial" w:eastAsia="Arial" w:hAnsi="Arial"/>
          <w:sz w:val="22"/>
          <w:szCs w:val="22"/>
        </w:rPr>
        <w:t xml:space="preserve"> Fund allocation proposals must pass governance review.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Automated Smart Contract Enforcement:</w:t>
      </w:r>
      <w:r>
        <w:rPr>
          <w:rFonts w:ascii="Arial" w:cs="Arial" w:eastAsia="Arial" w:hAnsi="Arial"/>
          <w:sz w:val="22"/>
          <w:szCs w:val="22"/>
        </w:rPr>
        <w:t xml:space="preserve"> On-chain execution prevents governance bypassing.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Sanctions &amp; Rewards:</w:t>
      </w:r>
      <w:r>
        <w:rPr>
          <w:rFonts w:ascii="Arial" w:cs="Arial" w:eastAsia="Arial" w:hAnsi="Arial"/>
          <w:sz w:val="22"/>
          <w:szCs w:val="22"/>
        </w:rPr>
        <w:t xml:space="preserve"> Governance Auditors can propose sanctions for malicious actors and bonuses for high-contributing validators.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governance framework ensures fair, decentralized, and transparent decision-making while maintaining efficiency through Synergy Score-based influence and automated smart contract execution.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Governance Organizational Chart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2026-03-13T18:54:16.688Z</dcterms:created>
  <dcterms:modified xsi:type="dcterms:W3CDTF">2026-03-13T18:54:16.688Z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