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Part I</w:t>
      </w:r>
    </w:p>
    <w:p>
      <w:pPr>
        <w:spacing w:before="0" w:after="480"/>
        <w:jc w:val="center"/>
      </w:pPr>
      <w:r>
        <w:rPr>
          <w:rFonts w:ascii="Arial" w:cs="Arial" w:eastAsia="Arial" w:hAnsi="Arial"/>
          <w:color w:val="0060FF"/>
          <w:sz w:val="32"/>
          <w:szCs w:val="32"/>
        </w:rPr>
        <w:t xml:space="preserve">Context, Motivation, and Design Philosophy</w:t>
      </w:r>
    </w:p>
    <w:p>
      <w:pPr>
        <w:pBdr>
          <w:bottom w:val="single" w:color="CCCCCC" w:sz="4" w:space="4"/>
        </w:pBdr>
        <w:spacing w:before="160" w:after="160"/>
      </w:pPr>
    </w:p>
    <w:p>
      <w:pPr>
        <w:spacing w:after="80"/>
      </w:pPr>
      <w:r>
        <w:t xml:space="preserve"/>
      </w:r>
    </w:p>
    <w:p>
      <w:pPr>
        <w:pStyle w:val="Heading1"/>
      </w:pPr>
      <w:r>
        <w:rPr>
          <w:rFonts w:ascii="Arial" w:cs="Arial" w:eastAsia="Arial" w:hAnsi="Arial"/>
        </w:rPr>
        <w:t xml:space="preserve">1. The State of Blockchain Infrastructure</w:t>
      </w:r>
    </w:p>
    <w:p>
      <w:pPr>
        <w:pStyle w:val="Heading2"/>
      </w:pPr>
      <w:r>
        <w:rPr>
          <w:rFonts w:ascii="Arial" w:cs="Arial" w:eastAsia="Arial" w:hAnsi="Arial"/>
        </w:rPr>
        <w:t xml:space="preserve">1.1 Fragmentation of Blockchain Ecosystems</w:t>
      </w:r>
    </w:p>
    <w:p>
      <w:pPr>
        <w:pStyle w:val="Normal"/>
      </w:pPr>
      <w:r>
        <w:rPr>
          <w:rFonts w:ascii="Arial" w:cs="Arial" w:eastAsia="Arial" w:hAnsi="Arial"/>
        </w:rPr>
        <w:t xml:space="preserve">Over the past decade, blockchain systems have proliferated into thousands of independent networks, each optimized around distinct design priorities such as throughput, programmability, privacy, or governance. While this diversity has driven experimentation, it has also resulted in profound structural fragmentation. Assets, applications, identities, and liquidity remain siloed within isolated execution environments, unable to interoperate without external coordination mechanisms.</w:t>
      </w:r>
    </w:p>
    <w:p>
      <w:pPr>
        <w:spacing w:after="80"/>
      </w:pPr>
      <w:r>
        <w:t xml:space="preserve"/>
      </w:r>
    </w:p>
    <w:p>
      <w:pPr>
        <w:pStyle w:val="Normal"/>
      </w:pPr>
      <w:r>
        <w:rPr>
          <w:rFonts w:ascii="Arial" w:cs="Arial" w:eastAsia="Arial" w:hAnsi="Arial"/>
        </w:rPr>
        <w:t xml:space="preserve">This fragmentation imposes systemic costs. Developers are forced to select a single execution environment and forgo access to other ecosystems, or else maintain parallel deployments across incompatible platforms. Users must manage multiple wallets, address formats, security assumptions, and operational workflows. Liquidity fractures across chains, reducing capital efficiency and amplifying volatility.</w:t>
      </w:r>
    </w:p>
    <w:p>
      <w:pPr>
        <w:spacing w:after="80"/>
      </w:pPr>
      <w:r>
        <w:t xml:space="preserve"/>
      </w:r>
    </w:p>
    <w:p>
      <w:pPr>
        <w:pStyle w:val="Normal"/>
      </w:pPr>
      <w:r>
        <w:rPr>
          <w:rFonts w:ascii="Arial" w:cs="Arial" w:eastAsia="Arial" w:hAnsi="Arial"/>
        </w:rPr>
        <w:t xml:space="preserve">Most critically, fragmentation undermines the composability that originally distinguished blockchain systems from traditional financial and computing infrastructure. In a fragmented multi-chain landscape, the global state of decentralized systems becomes opaque, inconsistent, and difficult to reason about. Without a unifying architectural framework, blockchains evolve not as a coherent ecosystem, but as a collection of disconnected ledgers competing for relevance.</w:t>
      </w:r>
    </w:p>
    <w:p>
      <w:pPr>
        <w:spacing w:after="80"/>
      </w:pPr>
      <w:r>
        <w:t xml:space="preserve"/>
      </w:r>
    </w:p>
    <w:p>
      <w:pPr>
        <w:pStyle w:val="Heading2"/>
      </w:pPr>
      <w:r>
        <w:rPr>
          <w:rFonts w:ascii="Arial" w:cs="Arial" w:eastAsia="Arial" w:hAnsi="Arial"/>
        </w:rPr>
        <w:t xml:space="preserve">1.2 Security Failures in Bridges and Interoperability</w:t>
      </w:r>
    </w:p>
    <w:p>
      <w:pPr>
        <w:pStyle w:val="Normal"/>
      </w:pPr>
      <w:r>
        <w:rPr>
          <w:rFonts w:ascii="Arial" w:cs="Arial" w:eastAsia="Arial" w:hAnsi="Arial"/>
        </w:rPr>
        <w:t xml:space="preserve">To compensate for fragmentation, the industry has relied heavily on cross-chain bridges and interoperability services. These systems typically function by locking assets on one blockchain and issuing representations on another, mediated by custodial contracts, multi-signature schemes, or privileged relayer sets.</w:t>
      </w:r>
    </w:p>
    <w:p>
      <w:pPr>
        <w:spacing w:after="80"/>
      </w:pPr>
      <w:r>
        <w:t xml:space="preserve"/>
      </w:r>
    </w:p>
    <w:p>
      <w:pPr>
        <w:pStyle w:val="Normal"/>
      </w:pPr>
      <w:r>
        <w:rPr>
          <w:rFonts w:ascii="Arial" w:cs="Arial" w:eastAsia="Arial" w:hAnsi="Arial"/>
        </w:rPr>
        <w:t xml:space="preserve">Empirically, this approach has proven fragile. Bridge exploits have resulted in some of the largest security failures in the history of blockchain systems, with losses totaling billions of dollars. These failures are not merely implementation bugs; they reflect fundamental architectural weaknesses. Bridge-based models concentrate risk, introduce opaque trust assumptions, and rely on complex state synchronization across heterogeneous consensus systems.</w:t>
      </w:r>
    </w:p>
    <w:p>
      <w:pPr>
        <w:spacing w:after="80"/>
      </w:pPr>
      <w:r>
        <w:t xml:space="preserve"/>
      </w:r>
    </w:p>
    <w:p>
      <w:pPr>
        <w:pStyle w:val="Normal"/>
      </w:pPr>
      <w:r>
        <w:rPr>
          <w:rFonts w:ascii="Arial" w:cs="Arial" w:eastAsia="Arial" w:hAnsi="Arial"/>
        </w:rPr>
        <w:t xml:space="preserve">Many interoperability mechanisms further depend on probabilistic validation, centralized governance intervention, or discretionary recovery procedures. As a result, users cannot independently verify cross-chain correctness, and failures often require ad hoc human coordination to resolve. This stands in direct tension with the core principles of decentralization and trust minimization.</w:t>
      </w:r>
    </w:p>
    <w:p>
      <w:pPr>
        <w:spacing w:after="80"/>
      </w:pPr>
      <w:r>
        <w:t xml:space="preserve"/>
      </w:r>
    </w:p>
    <w:p>
      <w:pPr>
        <w:pStyle w:val="Normal"/>
      </w:pPr>
      <w:r>
        <w:rPr>
          <w:rFonts w:ascii="Arial" w:cs="Arial" w:eastAsia="Arial" w:hAnsi="Arial"/>
        </w:rPr>
        <w:t xml:space="preserve">The cumulative evidence indicates that bridge-based interoperability is not an engineering inconvenience to be optimized away, but a flawed paradigm that cannot scale safely as blockchain usage grows.</w:t>
      </w:r>
    </w:p>
    <w:p>
      <w:pPr>
        <w:spacing w:after="80"/>
      </w:pPr>
      <w:r>
        <w:t xml:space="preserve"/>
      </w:r>
    </w:p>
    <w:p>
      <w:pPr>
        <w:pStyle w:val="Heading2"/>
      </w:pPr>
      <w:r>
        <w:rPr>
          <w:rFonts w:ascii="Arial" w:cs="Arial" w:eastAsia="Arial" w:hAnsi="Arial"/>
        </w:rPr>
        <w:t xml:space="preserve">1.3 Centralization Pressures in Modern Consensus</w:t>
      </w:r>
    </w:p>
    <w:p>
      <w:pPr>
        <w:pStyle w:val="Normal"/>
      </w:pPr>
      <w:r>
        <w:rPr>
          <w:rFonts w:ascii="Arial" w:cs="Arial" w:eastAsia="Arial" w:hAnsi="Arial"/>
        </w:rPr>
        <w:t xml:space="preserve">Consensus mechanisms determine who has the authority to update a blockchain's state. While early systems emphasized decentralization through open participation, many contemporary networks have converged toward increasingly centralized validation structures.</w:t>
      </w:r>
    </w:p>
    <w:p>
      <w:pPr>
        <w:spacing w:after="80"/>
      </w:pPr>
      <w:r>
        <w:t xml:space="preserve"/>
      </w:r>
    </w:p>
    <w:p>
      <w:pPr>
        <w:pStyle w:val="Normal"/>
      </w:pPr>
      <w:r>
        <w:rPr>
          <w:rFonts w:ascii="Arial" w:cs="Arial" w:eastAsia="Arial" w:hAnsi="Arial"/>
        </w:rPr>
        <w:t xml:space="preserve">In proof-of-work systems, economies of scale favor large mining operations with access to specialized hardware and low-cost energy. In proof-of-stake systems, capital concentration, delegation dynamics, and operational complexity tend to funnel influence toward a small number of professional validators or custodial intermediaries. Over time, these dynamics produce validator cartels capable of exerting outsized control over network governance, transaction ordering, and protocol evolution.</w:t>
      </w:r>
    </w:p>
    <w:p>
      <w:pPr>
        <w:spacing w:after="80"/>
      </w:pPr>
      <w:r>
        <w:t xml:space="preserve"/>
      </w:r>
    </w:p>
    <w:p>
      <w:pPr>
        <w:pStyle w:val="Normal"/>
      </w:pPr>
      <w:r>
        <w:rPr>
          <w:rFonts w:ascii="Arial" w:cs="Arial" w:eastAsia="Arial" w:hAnsi="Arial"/>
        </w:rPr>
        <w:t xml:space="preserve">Even when such concentration does not result in overt malicious behavior, it erodes the credibility of decentralization claims and increases systemic fragility. Networks become more susceptible to coordinated failures, regulatory capture, and governance deadlock. Furthermore, incentive structures that reward individual competition over collective reliability discourage behaviors that improve long-term network health, such as redundancy, cooperation, and transparent governance participation.</w:t>
      </w:r>
    </w:p>
    <w:p>
      <w:pPr>
        <w:spacing w:after="80"/>
      </w:pPr>
      <w:r>
        <w:t xml:space="preserve"/>
      </w:r>
    </w:p>
    <w:p>
      <w:pPr>
        <w:pStyle w:val="Normal"/>
      </w:pPr>
      <w:r>
        <w:rPr>
          <w:rFonts w:ascii="Arial" w:cs="Arial" w:eastAsia="Arial" w:hAnsi="Arial"/>
        </w:rPr>
        <w:t xml:space="preserve">These trends suggest that decentralization cannot be preserved through participation alone; it must be actively reinforced through incentive design and consensus architecture.</w:t>
      </w:r>
    </w:p>
    <w:p>
      <w:pPr>
        <w:spacing w:after="80"/>
      </w:pPr>
      <w:r>
        <w:t xml:space="preserve"/>
      </w:r>
    </w:p>
    <w:p>
      <w:pPr>
        <w:pStyle w:val="Heading2"/>
      </w:pPr>
      <w:r>
        <w:rPr>
          <w:rFonts w:ascii="Arial" w:cs="Arial" w:eastAsia="Arial" w:hAnsi="Arial"/>
        </w:rPr>
        <w:t xml:space="preserve">1.4 The Imminent Quantum Computing Threat</w:t>
      </w:r>
    </w:p>
    <w:p>
      <w:pPr>
        <w:pStyle w:val="Normal"/>
      </w:pPr>
      <w:r>
        <w:rPr>
          <w:rFonts w:ascii="Arial" w:cs="Arial" w:eastAsia="Arial" w:hAnsi="Arial"/>
        </w:rPr>
        <w:t xml:space="preserve">Nearly all blockchain systems in operation today rely on public-key cryptographic schemes whose security assumptions are invalidated by sufficiently powerful quantum computers. Advances in quantum algorithms demonstrate that once scalable quantum hardware becomes available, widely used digital signature and key-exchange mechanisms will be vulnerable to efficient attack.</w:t>
      </w:r>
    </w:p>
    <w:p>
      <w:pPr>
        <w:spacing w:after="80"/>
      </w:pPr>
      <w:r>
        <w:t xml:space="preserve"/>
      </w:r>
    </w:p>
    <w:p>
      <w:pPr>
        <w:pStyle w:val="Normal"/>
      </w:pPr>
      <w:r>
        <w:rPr>
          <w:rFonts w:ascii="Arial" w:cs="Arial" w:eastAsia="Arial" w:hAnsi="Arial"/>
        </w:rPr>
        <w:t xml:space="preserve">This threat is not speculative. Encrypted blockchain data is publicly observable and permanently stored. Adversaries can record transactions, signatures, and keys today and decrypt or forge them in the future once quantum capabilities mature — a scenario commonly described as "harvest now, decrypt later." For long-lived assets, governance keys, and institutional deployments, this risk is existential rather than theoretical.</w:t>
      </w:r>
    </w:p>
    <w:p>
      <w:pPr>
        <w:spacing w:after="80"/>
      </w:pPr>
      <w:r>
        <w:t xml:space="preserve"/>
      </w:r>
    </w:p>
    <w:p>
      <w:pPr>
        <w:pStyle w:val="Normal"/>
      </w:pPr>
      <w:r>
        <w:rPr>
          <w:rFonts w:ascii="Arial" w:cs="Arial" w:eastAsia="Arial" w:hAnsi="Arial"/>
        </w:rPr>
        <w:t xml:space="preserve">Retrofitting quantum resistance into existing blockchain systems presents substantial challenges. Cryptographic primitives are deeply embedded into address formats, transaction structures, consensus messages, and interoperability protocols. Migrating these systems post hoc risks network disruption, governance contention, and partial incompatibility.</w:t>
      </w:r>
    </w:p>
    <w:p>
      <w:pPr>
        <w:spacing w:after="80"/>
      </w:pPr>
      <w:r>
        <w:t xml:space="preserve"/>
      </w:r>
    </w:p>
    <w:p>
      <w:pPr>
        <w:pStyle w:val="Normal"/>
      </w:pPr>
      <w:r>
        <w:rPr>
          <w:rFonts w:ascii="Arial" w:cs="Arial" w:eastAsia="Arial" w:hAnsi="Arial"/>
        </w:rPr>
        <w:t xml:space="preserve">The absence of native post-quantum cryptographic foundations therefore represents a structural liability for most existing blockchains, not a minor upgrade path.</w:t>
      </w:r>
    </w:p>
    <w:p>
      <w:pPr>
        <w:spacing w:after="80"/>
      </w:pPr>
      <w:r>
        <w:t xml:space="preserve"/>
      </w:r>
    </w:p>
    <w:p>
      <w:pPr>
        <w:pStyle w:val="Heading2"/>
      </w:pPr>
      <w:r>
        <w:rPr>
          <w:rFonts w:ascii="Arial" w:cs="Arial" w:eastAsia="Arial" w:hAnsi="Arial"/>
        </w:rPr>
        <w:t xml:space="preserve">1.5 Why Incremental Improvements Are Insufficient</w:t>
      </w:r>
    </w:p>
    <w:p>
      <w:pPr>
        <w:pStyle w:val="Normal"/>
      </w:pPr>
      <w:r>
        <w:rPr>
          <w:rFonts w:ascii="Arial" w:cs="Arial" w:eastAsia="Arial" w:hAnsi="Arial"/>
        </w:rPr>
        <w:t xml:space="preserve">The challenges outlined above — fragmentation, insecure interoperability, centralization pressure, and quantum vulnerability — are often treated as separate problems addressed through incremental improvements: faster bridges, modified staking rules, layered security add-ons, or future migration plans.</w:t>
      </w:r>
    </w:p>
    <w:p>
      <w:pPr>
        <w:spacing w:after="80"/>
      </w:pPr>
      <w:r>
        <w:t xml:space="preserve"/>
      </w:r>
    </w:p>
    <w:p>
      <w:pPr>
        <w:pStyle w:val="Normal"/>
      </w:pPr>
      <w:r>
        <w:rPr>
          <w:rFonts w:ascii="Arial" w:cs="Arial" w:eastAsia="Arial" w:hAnsi="Arial"/>
        </w:rPr>
        <w:t xml:space="preserve">However, these issues are interdependent. Interoperability mechanisms inherit the security properties of underlying cryptography. Consensus incentives shape governance outcomes and upgrade feasibility. Cryptographic assumptions constrain long-term system viability. Attempting to solve any one of these challenges in isolation introduces new failure modes elsewhere.</w:t>
      </w:r>
    </w:p>
    <w:p>
      <w:pPr>
        <w:spacing w:after="80"/>
      </w:pPr>
      <w:r>
        <w:t xml:space="preserve"/>
      </w:r>
    </w:p>
    <w:p>
      <w:pPr>
        <w:pStyle w:val="Normal"/>
      </w:pPr>
      <w:r>
        <w:rPr>
          <w:rFonts w:ascii="Arial" w:cs="Arial" w:eastAsia="Arial" w:hAnsi="Arial"/>
        </w:rPr>
        <w:t xml:space="preserve">Incremental modifications layered atop architectures that were not designed for cooperation, deterministic cross-chain verification, or quantum resistance tend to increase complexity without resolving root causes. Over time, such systems accumulate technical and governance debt, making comprehensive reform increasingly difficult.</w:t>
      </w:r>
    </w:p>
    <w:p>
      <w:pPr>
        <w:spacing w:after="80"/>
      </w:pPr>
      <w:r>
        <w:t xml:space="preserve"/>
      </w:r>
    </w:p>
    <w:p>
      <w:pPr>
        <w:pStyle w:val="Normal"/>
      </w:pPr>
      <w:r>
        <w:rPr>
          <w:rFonts w:ascii="Arial" w:cs="Arial" w:eastAsia="Arial" w:hAnsi="Arial"/>
        </w:rPr>
        <w:t xml:space="preserve">A durable solution requires a foundational redesign — one that treats interoperability, cryptographic resilience, consensus incentives, and governance as mutually reinforcing components of a single system rather than independent modules. Synergy Network is proposed in response to this necessity.</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2. Design Goals and Non-Negotiables</w:t>
      </w:r>
    </w:p>
    <w:p>
      <w:pPr>
        <w:pStyle w:val="Normal"/>
      </w:pPr>
      <w:r>
        <w:rPr>
          <w:rFonts w:ascii="Arial" w:cs="Arial" w:eastAsia="Arial" w:hAnsi="Arial"/>
        </w:rPr>
        <w:t xml:space="preserve">Synergy Network is not defined by a collection of features, but by a set of constraints that limit what the system is allowed to become. These constraints are intentionally restrictive. They exist to prevent architectural drift, short-term optimization, and retroactive rationalization as the network evolves.</w:t>
      </w:r>
    </w:p>
    <w:p>
      <w:pPr>
        <w:spacing w:after="80"/>
      </w:pPr>
      <w:r>
        <w:t xml:space="preserve"/>
      </w:r>
    </w:p>
    <w:p>
      <w:pPr>
        <w:pStyle w:val="Normal"/>
      </w:pPr>
      <w:r>
        <w:rPr>
          <w:rFonts w:ascii="Arial" w:cs="Arial" w:eastAsia="Arial" w:hAnsi="Arial"/>
        </w:rPr>
        <w:t xml:space="preserve">Each goal articulated below is treated as a non-negotiable design requirement. Where trade-offs arise, decisions are resolved in favor of these principles, even at the expense of convenience, short-term performance, or compatibility with legacy systems.</w:t>
      </w:r>
    </w:p>
    <w:p>
      <w:pPr>
        <w:spacing w:after="80"/>
      </w:pPr>
      <w:r>
        <w:t xml:space="preserve"/>
      </w:r>
    </w:p>
    <w:p>
      <w:pPr>
        <w:pStyle w:val="Heading2"/>
      </w:pPr>
      <w:r>
        <w:rPr>
          <w:rFonts w:ascii="Arial" w:cs="Arial" w:eastAsia="Arial" w:hAnsi="Arial"/>
        </w:rPr>
        <w:t xml:space="preserve">2.1 Quantum Security as a First-Class Constraint</w:t>
      </w:r>
    </w:p>
    <w:p>
      <w:pPr>
        <w:pStyle w:val="Normal"/>
      </w:pPr>
      <w:r>
        <w:rPr>
          <w:rFonts w:ascii="Arial" w:cs="Arial" w:eastAsia="Arial" w:hAnsi="Arial"/>
        </w:rPr>
        <w:t xml:space="preserve">Synergy Network is designed under the assumption that large-scale quantum computing will eventually render classical public-key cryptography insecure. This assumption is treated not as a speculative risk, but as a future certainty with an uncertain timeline.</w:t>
      </w:r>
    </w:p>
    <w:p>
      <w:pPr>
        <w:spacing w:after="80"/>
      </w:pPr>
      <w:r>
        <w:t xml:space="preserve"/>
      </w:r>
    </w:p>
    <w:p>
      <w:pPr>
        <w:pStyle w:val="Normal"/>
      </w:pPr>
      <w:r>
        <w:rPr>
          <w:rFonts w:ascii="Arial" w:cs="Arial" w:eastAsia="Arial" w:hAnsi="Arial"/>
        </w:rPr>
        <w:t xml:space="preserve">As a result, post-quantum security is not an optional upgrade path or auxiliary module. It is a first-class constraint that shapes address formats, transaction authentication, consensus messaging, cross-chain verification, and governance operations from inception. This design choice implies several structural commitments:</w:t>
      </w:r>
    </w:p>
    <w:p>
      <w:pPr>
        <w:pStyle w:val="ListParagraph"/>
        <w:numPr>
          <w:ilvl w:val="0"/>
          <w:numId w:val="2"/>
        </w:numPr>
      </w:pPr>
      <w:r>
        <w:rPr>
          <w:rFonts w:ascii="Arial" w:cs="Arial" w:eastAsia="Arial" w:hAnsi="Arial"/>
          <w:sz w:val="22"/>
          <w:szCs w:val="22"/>
        </w:rPr>
        <w:t xml:space="preserve">Cryptographic primitives must be quantum-resistant by default, not by configuration.</w:t>
      </w:r>
    </w:p>
    <w:p>
      <w:pPr>
        <w:pStyle w:val="ListParagraph"/>
        <w:numPr>
          <w:ilvl w:val="0"/>
          <w:numId w:val="2"/>
        </w:numPr>
      </w:pPr>
      <w:r>
        <w:rPr>
          <w:rFonts w:ascii="Arial" w:cs="Arial" w:eastAsia="Arial" w:hAnsi="Arial"/>
          <w:sz w:val="22"/>
          <w:szCs w:val="22"/>
        </w:rPr>
        <w:t xml:space="preserve">Key lifecycle management, including rotation and revocation, must be protocol-enforced rather than left to off-chain convention.</w:t>
      </w:r>
    </w:p>
    <w:p>
      <w:pPr>
        <w:pStyle w:val="ListParagraph"/>
        <w:numPr>
          <w:ilvl w:val="0"/>
          <w:numId w:val="2"/>
        </w:numPr>
      </w:pPr>
      <w:r>
        <w:rPr>
          <w:rFonts w:ascii="Arial" w:cs="Arial" w:eastAsia="Arial" w:hAnsi="Arial"/>
          <w:sz w:val="22"/>
          <w:szCs w:val="22"/>
        </w:rPr>
        <w:t xml:space="preserve">Security guarantees must remain valid under both classical and quantum adversary models.</w:t>
      </w:r>
    </w:p>
    <w:p>
      <w:pPr>
        <w:spacing w:after="80"/>
      </w:pPr>
      <w:r>
        <w:t xml:space="preserve"/>
      </w:r>
    </w:p>
    <w:p>
      <w:pPr>
        <w:pStyle w:val="Normal"/>
      </w:pPr>
      <w:r>
        <w:rPr>
          <w:rFonts w:ascii="Arial" w:cs="Arial" w:eastAsia="Arial" w:hAnsi="Arial"/>
        </w:rPr>
        <w:t xml:space="preserve">Any architecture that depends on future migrations, dual-stack cryptography with classical fallbacks, or post hoc remediation is considered insufficient for long-lived, high-value systems.</w:t>
      </w:r>
    </w:p>
    <w:p>
      <w:pPr>
        <w:spacing w:after="80"/>
      </w:pPr>
      <w:r>
        <w:t xml:space="preserve"/>
      </w:r>
    </w:p>
    <w:p>
      <w:pPr>
        <w:pStyle w:val="Heading2"/>
      </w:pPr>
      <w:r>
        <w:rPr>
          <w:rFonts w:ascii="Arial" w:cs="Arial" w:eastAsia="Arial" w:hAnsi="Arial"/>
        </w:rPr>
        <w:t xml:space="preserve">2.2 Deterministic Finality and Verifiability</w:t>
      </w:r>
    </w:p>
    <w:p>
      <w:pPr>
        <w:pStyle w:val="Normal"/>
      </w:pPr>
      <w:r>
        <w:rPr>
          <w:rFonts w:ascii="Arial" w:cs="Arial" w:eastAsia="Arial" w:hAnsi="Arial"/>
        </w:rPr>
        <w:t xml:space="preserve">Synergy Network requires deterministic finality as a core property. Once state is finalized, it must not be subject to probabilistic reorganization, discretionary reversal, or ambiguity regarding its validity.</w:t>
      </w:r>
    </w:p>
    <w:p>
      <w:pPr>
        <w:spacing w:after="80"/>
      </w:pPr>
      <w:r>
        <w:t xml:space="preserve"/>
      </w:r>
    </w:p>
    <w:p>
      <w:pPr>
        <w:pStyle w:val="Normal"/>
      </w:pPr>
      <w:r>
        <w:rPr>
          <w:rFonts w:ascii="Arial" w:cs="Arial" w:eastAsia="Arial" w:hAnsi="Arial"/>
        </w:rPr>
        <w:t xml:space="preserve">Deterministic finality serves several purposes:</w:t>
      </w:r>
    </w:p>
    <w:p>
      <w:pPr>
        <w:pStyle w:val="ListParagraph"/>
        <w:numPr>
          <w:ilvl w:val="0"/>
          <w:numId w:val="2"/>
        </w:numPr>
      </w:pPr>
      <w:r>
        <w:rPr>
          <w:rFonts w:ascii="Arial" w:cs="Arial" w:eastAsia="Arial" w:hAnsi="Arial"/>
          <w:sz w:val="22"/>
          <w:szCs w:val="22"/>
        </w:rPr>
        <w:t xml:space="preserve">It enables external systems and institutions to reason about state with certainty.</w:t>
      </w:r>
    </w:p>
    <w:p>
      <w:pPr>
        <w:pStyle w:val="ListParagraph"/>
        <w:numPr>
          <w:ilvl w:val="0"/>
          <w:numId w:val="2"/>
        </w:numPr>
      </w:pPr>
      <w:r>
        <w:rPr>
          <w:rFonts w:ascii="Arial" w:cs="Arial" w:eastAsia="Arial" w:hAnsi="Arial"/>
          <w:sz w:val="22"/>
          <w:szCs w:val="22"/>
        </w:rPr>
        <w:t xml:space="preserve">It simplifies cross-chain verification by providing unambiguous checkpoints.</w:t>
      </w:r>
    </w:p>
    <w:p>
      <w:pPr>
        <w:pStyle w:val="ListParagraph"/>
        <w:numPr>
          <w:ilvl w:val="0"/>
          <w:numId w:val="2"/>
        </w:numPr>
      </w:pPr>
      <w:r>
        <w:rPr>
          <w:rFonts w:ascii="Arial" w:cs="Arial" w:eastAsia="Arial" w:hAnsi="Arial"/>
          <w:sz w:val="22"/>
          <w:szCs w:val="22"/>
        </w:rPr>
        <w:t xml:space="preserve">It constrains governance power by preventing retroactive reinterpretation of history outside formally defined emergency procedures.</w:t>
      </w:r>
    </w:p>
    <w:p>
      <w:pPr>
        <w:spacing w:after="80"/>
      </w:pPr>
      <w:r>
        <w:t xml:space="preserve"/>
      </w:r>
    </w:p>
    <w:p>
      <w:pPr>
        <w:pStyle w:val="Normal"/>
      </w:pPr>
      <w:r>
        <w:rPr>
          <w:rFonts w:ascii="Arial" w:cs="Arial" w:eastAsia="Arial" w:hAnsi="Arial"/>
        </w:rPr>
        <w:t xml:space="preserve">In addition, all critical protocol actions — including consensus decisions, cross-chain attestations, and governance outcomes — must be independently verifiable by any observer with access to public data. Probabilistic correctness, subjective finality, or reliance on trusted third-party assertions are explicitly excluded from the design space.</w:t>
      </w:r>
    </w:p>
    <w:p>
      <w:pPr>
        <w:spacing w:after="80"/>
      </w:pPr>
      <w:r>
        <w:t xml:space="preserve"/>
      </w:r>
    </w:p>
    <w:p>
      <w:pPr>
        <w:pStyle w:val="Heading2"/>
      </w:pPr>
      <w:r>
        <w:rPr>
          <w:rFonts w:ascii="Arial" w:cs="Arial" w:eastAsia="Arial" w:hAnsi="Arial"/>
        </w:rPr>
        <w:t xml:space="preserve">2.3 Elimination of Custodial Trust Assumptions</w:t>
      </w:r>
    </w:p>
    <w:p>
      <w:pPr>
        <w:pStyle w:val="Normal"/>
      </w:pPr>
      <w:r>
        <w:rPr>
          <w:rFonts w:ascii="Arial" w:cs="Arial" w:eastAsia="Arial" w:hAnsi="Arial"/>
        </w:rPr>
        <w:t xml:space="preserve">Custodial trust represents a structural weakness in decentralized systems. Whenever assets, authority, or validation power is concentrated behind privileged keys or entities, the system inherits single points of failure that are incompatible with long-term decentralization.</w:t>
      </w:r>
    </w:p>
    <w:p>
      <w:pPr>
        <w:spacing w:after="80"/>
      </w:pPr>
      <w:r>
        <w:t xml:space="preserve"/>
      </w:r>
    </w:p>
    <w:p>
      <w:pPr>
        <w:pStyle w:val="Normal"/>
      </w:pPr>
      <w:r>
        <w:rPr>
          <w:rFonts w:ascii="Arial" w:cs="Arial" w:eastAsia="Arial" w:hAnsi="Arial"/>
        </w:rPr>
        <w:t xml:space="preserve">Synergy Network therefore adopts the elimination of custodial trust assumptions as a foundational goal. This applies not only to asset custody, but to protocol operations more broadly. Concretely, this implies:</w:t>
      </w:r>
    </w:p>
    <w:p>
      <w:pPr>
        <w:pStyle w:val="ListParagraph"/>
        <w:numPr>
          <w:ilvl w:val="0"/>
          <w:numId w:val="2"/>
        </w:numPr>
      </w:pPr>
      <w:r>
        <w:rPr>
          <w:rFonts w:ascii="Arial" w:cs="Arial" w:eastAsia="Arial" w:hAnsi="Arial"/>
          <w:sz w:val="22"/>
          <w:szCs w:val="22"/>
        </w:rPr>
        <w:t xml:space="preserve">Cross-chain interoperability must not rely on custodial bridges, wrapped assets, or privileged recovery agents.</w:t>
      </w:r>
    </w:p>
    <w:p>
      <w:pPr>
        <w:pStyle w:val="ListParagraph"/>
        <w:numPr>
          <w:ilvl w:val="0"/>
          <w:numId w:val="2"/>
        </w:numPr>
      </w:pPr>
      <w:r>
        <w:rPr>
          <w:rFonts w:ascii="Arial" w:cs="Arial" w:eastAsia="Arial" w:hAnsi="Arial"/>
          <w:sz w:val="22"/>
          <w:szCs w:val="22"/>
        </w:rPr>
        <w:t xml:space="preserve">No single party or small group may unilaterally authorize state transitions across chains.</w:t>
      </w:r>
    </w:p>
    <w:p>
      <w:pPr>
        <w:pStyle w:val="ListParagraph"/>
        <w:numPr>
          <w:ilvl w:val="0"/>
          <w:numId w:val="2"/>
        </w:numPr>
      </w:pPr>
      <w:r>
        <w:rPr>
          <w:rFonts w:ascii="Arial" w:cs="Arial" w:eastAsia="Arial" w:hAnsi="Arial"/>
          <w:sz w:val="22"/>
          <w:szCs w:val="22"/>
        </w:rPr>
        <w:t xml:space="preserve">Recovery and emergency mechanisms must be collectively governed, cryptographically constrained, and auditable.</w:t>
      </w:r>
    </w:p>
    <w:p>
      <w:pPr>
        <w:spacing w:after="80"/>
      </w:pPr>
      <w:r>
        <w:t xml:space="preserve"/>
      </w:r>
    </w:p>
    <w:p>
      <w:pPr>
        <w:pStyle w:val="Normal"/>
      </w:pPr>
      <w:r>
        <w:rPr>
          <w:rFonts w:ascii="Arial" w:cs="Arial" w:eastAsia="Arial" w:hAnsi="Arial"/>
        </w:rPr>
        <w:t xml:space="preserve">Where trust minimization cannot be absolute, it must be explicit, bounded, and subject to formal governance controls. Implicit trust assumptions are treated as design failures.</w:t>
      </w:r>
    </w:p>
    <w:p>
      <w:pPr>
        <w:spacing w:after="80"/>
      </w:pPr>
      <w:r>
        <w:t xml:space="preserve"/>
      </w:r>
    </w:p>
    <w:p>
      <w:pPr>
        <w:pStyle w:val="Heading2"/>
      </w:pPr>
      <w:r>
        <w:rPr>
          <w:rFonts w:ascii="Arial" w:cs="Arial" w:eastAsia="Arial" w:hAnsi="Arial"/>
        </w:rPr>
        <w:t xml:space="preserve">2.4 Cooperative Economics Over Competitive Extraction</w:t>
      </w:r>
    </w:p>
    <w:p>
      <w:pPr>
        <w:pStyle w:val="Normal"/>
      </w:pPr>
      <w:r>
        <w:rPr>
          <w:rFonts w:ascii="Arial" w:cs="Arial" w:eastAsia="Arial" w:hAnsi="Arial"/>
        </w:rPr>
        <w:t xml:space="preserve">Many blockchain systems rely on competitive incentive structures that reward adversarial behavior, such as frontrunning, validator cartel formation, and short-term extraction at the expense of long-term system health. While such mechanisms may increase individual profitability, they degrade network resilience and social legitimacy over time.</w:t>
      </w:r>
    </w:p>
    <w:p>
      <w:pPr>
        <w:spacing w:after="80"/>
      </w:pPr>
      <w:r>
        <w:t xml:space="preserve"/>
      </w:r>
    </w:p>
    <w:p>
      <w:pPr>
        <w:pStyle w:val="Normal"/>
      </w:pPr>
      <w:r>
        <w:rPr>
          <w:rFonts w:ascii="Arial" w:cs="Arial" w:eastAsia="Arial" w:hAnsi="Arial"/>
        </w:rPr>
        <w:t xml:space="preserve">Synergy Network adopts cooperative economics as a guiding principle. Validators are incentivized to contribute to collective outcomes — availability, correctness, uptime, and governance participation — rather than compete for isolated advantage. This principle shapes:</w:t>
      </w:r>
    </w:p>
    <w:p>
      <w:pPr>
        <w:pStyle w:val="ListParagraph"/>
        <w:numPr>
          <w:ilvl w:val="0"/>
          <w:numId w:val="2"/>
        </w:numPr>
      </w:pPr>
      <w:r>
        <w:rPr>
          <w:rFonts w:ascii="Arial" w:cs="Arial" w:eastAsia="Arial" w:hAnsi="Arial"/>
          <w:sz w:val="22"/>
          <w:szCs w:val="22"/>
        </w:rPr>
        <w:t xml:space="preserve">How validator influence is measured and adjusted over time.</w:t>
      </w:r>
    </w:p>
    <w:p>
      <w:pPr>
        <w:pStyle w:val="ListParagraph"/>
        <w:numPr>
          <w:ilvl w:val="0"/>
          <w:numId w:val="2"/>
        </w:numPr>
      </w:pPr>
      <w:r>
        <w:rPr>
          <w:rFonts w:ascii="Arial" w:cs="Arial" w:eastAsia="Arial" w:hAnsi="Arial"/>
          <w:sz w:val="22"/>
          <w:szCs w:val="22"/>
        </w:rPr>
        <w:t xml:space="preserve">How rewards are distributed relative to behavior, not merely capital.</w:t>
      </w:r>
    </w:p>
    <w:p>
      <w:pPr>
        <w:pStyle w:val="ListParagraph"/>
        <w:numPr>
          <w:ilvl w:val="0"/>
          <w:numId w:val="2"/>
        </w:numPr>
      </w:pPr>
      <w:r>
        <w:rPr>
          <w:rFonts w:ascii="Arial" w:cs="Arial" w:eastAsia="Arial" w:hAnsi="Arial"/>
          <w:sz w:val="22"/>
          <w:szCs w:val="22"/>
        </w:rPr>
        <w:t xml:space="preserve">How governance participation is valued and enforced.</w:t>
      </w:r>
    </w:p>
    <w:p>
      <w:pPr>
        <w:spacing w:after="80"/>
      </w:pPr>
      <w:r>
        <w:t xml:space="preserve"/>
      </w:r>
    </w:p>
    <w:p>
      <w:pPr>
        <w:pStyle w:val="Normal"/>
      </w:pPr>
      <w:r>
        <w:rPr>
          <w:rFonts w:ascii="Arial" w:cs="Arial" w:eastAsia="Arial" w:hAnsi="Arial"/>
        </w:rPr>
        <w:t xml:space="preserve">Competition is not eliminated entirely, but it is subordinated to cooperation. The protocol is designed to reward behaviors that improve the network as a whole, even when those behaviors are individually suboptimal in the short term.</w:t>
      </w:r>
    </w:p>
    <w:p>
      <w:pPr>
        <w:spacing w:after="80"/>
      </w:pPr>
      <w:r>
        <w:t xml:space="preserve"/>
      </w:r>
    </w:p>
    <w:p>
      <w:pPr>
        <w:pStyle w:val="Heading2"/>
      </w:pPr>
      <w:r>
        <w:rPr>
          <w:rFonts w:ascii="Arial" w:cs="Arial" w:eastAsia="Arial" w:hAnsi="Arial"/>
        </w:rPr>
        <w:t xml:space="preserve">2.5 Formal Safety, Liveness, and Governance Guarantees</w:t>
      </w:r>
    </w:p>
    <w:p>
      <w:pPr>
        <w:pStyle w:val="Normal"/>
      </w:pPr>
      <w:r>
        <w:rPr>
          <w:rFonts w:ascii="Arial" w:cs="Arial" w:eastAsia="Arial" w:hAnsi="Arial"/>
        </w:rPr>
        <w:t xml:space="preserve">Synergy Network treats correctness as a property that must be reasoned about explicitly, not inferred empirically. Core protocol mechanisms are designed to admit formal analysis of safety and liveness under stated assumptions.</w:t>
      </w:r>
    </w:p>
    <w:p>
      <w:pPr>
        <w:spacing w:after="80"/>
      </w:pPr>
      <w:r>
        <w:t xml:space="preserve"/>
      </w:r>
    </w:p>
    <w:p>
      <w:pPr>
        <w:pStyle w:val="Normal"/>
      </w:pPr>
      <w:r>
        <w:rPr>
          <w:rFonts w:ascii="Arial" w:cs="Arial" w:eastAsia="Arial" w:hAnsi="Arial"/>
        </w:rPr>
        <w:t xml:space="preserve">This commitment extends beyond consensus to include:</w:t>
      </w:r>
    </w:p>
    <w:p>
      <w:pPr>
        <w:pStyle w:val="ListParagraph"/>
        <w:numPr>
          <w:ilvl w:val="0"/>
          <w:numId w:val="2"/>
        </w:numPr>
      </w:pPr>
      <w:r>
        <w:rPr>
          <w:rFonts w:ascii="Arial" w:cs="Arial" w:eastAsia="Arial" w:hAnsi="Arial"/>
          <w:sz w:val="22"/>
          <w:szCs w:val="22"/>
        </w:rPr>
        <w:t xml:space="preserve">Cross-chain verification and state propagation.</w:t>
      </w:r>
    </w:p>
    <w:p>
      <w:pPr>
        <w:pStyle w:val="ListParagraph"/>
        <w:numPr>
          <w:ilvl w:val="0"/>
          <w:numId w:val="2"/>
        </w:numPr>
      </w:pPr>
      <w:r>
        <w:rPr>
          <w:rFonts w:ascii="Arial" w:cs="Arial" w:eastAsia="Arial" w:hAnsi="Arial"/>
          <w:sz w:val="22"/>
          <w:szCs w:val="22"/>
        </w:rPr>
        <w:t xml:space="preserve">Cryptographic key management and randomness generation.</w:t>
      </w:r>
    </w:p>
    <w:p>
      <w:pPr>
        <w:pStyle w:val="ListParagraph"/>
        <w:numPr>
          <w:ilvl w:val="0"/>
          <w:numId w:val="2"/>
        </w:numPr>
      </w:pPr>
      <w:r>
        <w:rPr>
          <w:rFonts w:ascii="Arial" w:cs="Arial" w:eastAsia="Arial" w:hAnsi="Arial"/>
          <w:sz w:val="22"/>
          <w:szCs w:val="22"/>
        </w:rPr>
        <w:t xml:space="preserve">Governance procedures and emergency interventions.</w:t>
      </w:r>
    </w:p>
    <w:p>
      <w:pPr>
        <w:spacing w:after="80"/>
      </w:pPr>
      <w:r>
        <w:t xml:space="preserve"/>
      </w:r>
    </w:p>
    <w:p>
      <w:pPr>
        <w:pStyle w:val="Normal"/>
      </w:pPr>
      <w:r>
        <w:rPr>
          <w:rFonts w:ascii="Arial" w:cs="Arial" w:eastAsia="Arial" w:hAnsi="Arial"/>
        </w:rPr>
        <w:t xml:space="preserve">Governance, in particular, is constrained by formal processes rather than discretionary authority. While exceptional actions may be necessary under extreme circumstances, they must occur within a framework that is transparent, auditable, and resistant to abuse. Informal assurances, social consensus alone, or reliance on benevolent actors are not considered sufficient guarantees for infrastructure intended to secure long-lived digital assets and institutional trust.</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Part I — Context, Motivation &amp; Design Philosophy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2026-03-13T18:16:02.946Z</dcterms:created>
  <dcterms:modified xsi:type="dcterms:W3CDTF">2026-03-13T18:16:02.948Z</dcterms:modified>
</cp:coreProperties>
</file>

<file path=docProps/custom.xml><?xml version="1.0" encoding="utf-8"?>
<Properties xmlns="http://schemas.openxmlformats.org/officeDocument/2006/custom-properties" xmlns:vt="http://schemas.openxmlformats.org/officeDocument/2006/docPropsVTypes"/>
</file>