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0A0F2C"/>
          <w:sz w:val="72"/>
          <w:szCs w:val="72"/>
        </w:rPr>
        <w:t xml:space="preserve">Staking Guide</w:t>
      </w:r>
    </w:p>
    <w:p>
      <w:pPr>
        <w:spacing w:before="0" w:after="480"/>
        <w:jc w:val="center"/>
      </w:pPr>
      <w:r>
        <w:rPr>
          <w:rFonts w:ascii="Arial" w:cs="Arial" w:eastAsia="Arial" w:hAnsi="Arial"/>
          <w:color w:val="0060FF"/>
          <w:sz w:val="32"/>
          <w:szCs w:val="32"/>
        </w:rPr>
        <w:t xml:space="preserve">Synergy Network</w:t>
      </w:r>
    </w:p>
    <w:p>
      <w:pPr>
        <w:pBdr>
          <w:bottom w:val="single" w:color="CCCCCC" w:sz="4" w:space="4"/>
        </w:pBdr>
        <w:spacing w:before="160" w:after="160"/>
      </w:pP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 Overview</w:t>
      </w:r>
    </w:p>
    <w:p>
      <w:pPr>
        <w:pStyle w:val="Normal"/>
      </w:pPr>
      <w:r>
        <w:rPr>
          <w:rFonts w:ascii="Arial" w:cs="Arial" w:eastAsia="Arial" w:hAnsi="Arial"/>
        </w:rPr>
        <w:t xml:space="preserve">Staking SYN tokens helps secure the Synergy Network, support validator operations, and earn rewards. Both delegators and validator operators can stake to participate in consensus and governance.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2. Staking Basics</w:t>
      </w:r>
    </w:p>
    <w:p>
      <w:pPr>
        <w:pStyle w:val="ListParagraph"/>
        <w:numPr>
          <w:ilvl w:val="0"/>
          <w:numId w:val="2"/>
        </w:numPr>
      </w:pPr>
      <w:r>
        <w:rPr>
          <w:rFonts w:ascii="Arial" w:cs="Arial" w:eastAsia="Arial" w:hAnsi="Arial"/>
          <w:b/>
          <w:bCs/>
          <w:sz w:val="22"/>
          <w:szCs w:val="22"/>
        </w:rPr>
        <w:t xml:space="preserve">Stakers:</w:t>
      </w:r>
      <w:r>
        <w:rPr>
          <w:rFonts w:ascii="Arial" w:cs="Arial" w:eastAsia="Arial" w:hAnsi="Arial"/>
          <w:sz w:val="22"/>
          <w:szCs w:val="22"/>
        </w:rPr>
        <w:t xml:space="preserve"> Token holders who lock SYN to support network validators</w:t>
      </w:r>
    </w:p>
    <w:p>
      <w:pPr>
        <w:pStyle w:val="ListParagraph"/>
        <w:numPr>
          <w:ilvl w:val="0"/>
          <w:numId w:val="2"/>
        </w:numPr>
      </w:pPr>
      <w:r>
        <w:rPr>
          <w:rFonts w:ascii="Arial" w:cs="Arial" w:eastAsia="Arial" w:hAnsi="Arial"/>
          <w:b/>
          <w:bCs/>
          <w:sz w:val="22"/>
          <w:szCs w:val="22"/>
        </w:rPr>
        <w:t xml:space="preserve">Validators:</w:t>
      </w:r>
      <w:r>
        <w:rPr>
          <w:rFonts w:ascii="Arial" w:cs="Arial" w:eastAsia="Arial" w:hAnsi="Arial"/>
          <w:sz w:val="22"/>
          <w:szCs w:val="22"/>
        </w:rPr>
        <w:t xml:space="preserve"> Nodes that propose/validate blocks and require self-bonded SYN</w:t>
      </w:r>
    </w:p>
    <w:p>
      <w:pPr>
        <w:pStyle w:val="ListParagraph"/>
        <w:numPr>
          <w:ilvl w:val="0"/>
          <w:numId w:val="2"/>
        </w:numPr>
      </w:pPr>
      <w:r>
        <w:rPr>
          <w:rFonts w:ascii="Arial" w:cs="Arial" w:eastAsia="Arial" w:hAnsi="Arial"/>
          <w:b/>
          <w:bCs/>
          <w:sz w:val="22"/>
          <w:szCs w:val="22"/>
        </w:rPr>
        <w:t xml:space="preserve">Delegators:</w:t>
      </w:r>
      <w:r>
        <w:rPr>
          <w:rFonts w:ascii="Arial" w:cs="Arial" w:eastAsia="Arial" w:hAnsi="Arial"/>
          <w:sz w:val="22"/>
          <w:szCs w:val="22"/>
        </w:rPr>
        <w:t xml:space="preserve"> Users who stake SYN with a validator of their choice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3. Benefits of Staking</w:t>
      </w:r>
    </w:p>
    <w:p>
      <w:pPr>
        <w:pStyle w:val="Heading2"/>
      </w:pPr>
      <w:r>
        <w:rPr>
          <w:rFonts w:ascii="Arial" w:cs="Arial" w:eastAsia="Arial" w:hAnsi="Arial"/>
        </w:rPr>
        <w:t xml:space="preserve">For Stakers</w:t>
      </w:r>
    </w:p>
    <w:p>
      <w:pPr>
        <w:pStyle w:val="ListParagraph"/>
        <w:numPr>
          <w:ilvl w:val="0"/>
          <w:numId w:val="2"/>
        </w:numPr>
      </w:pPr>
      <w:r>
        <w:rPr>
          <w:rFonts w:ascii="Arial" w:cs="Arial" w:eastAsia="Arial" w:hAnsi="Arial"/>
          <w:b/>
          <w:bCs/>
          <w:sz w:val="22"/>
          <w:szCs w:val="22"/>
        </w:rPr>
        <w:t xml:space="preserve">Earn Rewards:</w:t>
      </w:r>
      <w:r>
        <w:rPr>
          <w:rFonts w:ascii="Arial" w:cs="Arial" w:eastAsia="Arial" w:hAnsi="Arial"/>
          <w:sz w:val="22"/>
          <w:szCs w:val="22"/>
        </w:rPr>
        <w:t xml:space="preserve"> Regular token rewards for participation</w:t>
      </w:r>
    </w:p>
    <w:p>
      <w:pPr>
        <w:pStyle w:val="ListParagraph"/>
        <w:numPr>
          <w:ilvl w:val="0"/>
          <w:numId w:val="2"/>
        </w:numPr>
      </w:pPr>
      <w:r>
        <w:rPr>
          <w:rFonts w:ascii="Arial" w:cs="Arial" w:eastAsia="Arial" w:hAnsi="Arial"/>
          <w:b/>
          <w:bCs/>
          <w:sz w:val="22"/>
          <w:szCs w:val="22"/>
        </w:rPr>
        <w:t xml:space="preserve">Support Network:</w:t>
      </w:r>
      <w:r>
        <w:rPr>
          <w:rFonts w:ascii="Arial" w:cs="Arial" w:eastAsia="Arial" w:hAnsi="Arial"/>
          <w:sz w:val="22"/>
          <w:szCs w:val="22"/>
        </w:rPr>
        <w:t xml:space="preserve"> Help secure and decentralize the network</w:t>
      </w:r>
    </w:p>
    <w:p>
      <w:pPr>
        <w:pStyle w:val="ListParagraph"/>
        <w:numPr>
          <w:ilvl w:val="0"/>
          <w:numId w:val="2"/>
        </w:numPr>
      </w:pPr>
      <w:r>
        <w:rPr>
          <w:rFonts w:ascii="Arial" w:cs="Arial" w:eastAsia="Arial" w:hAnsi="Arial"/>
          <w:b/>
          <w:bCs/>
          <w:sz w:val="22"/>
          <w:szCs w:val="22"/>
        </w:rPr>
        <w:t xml:space="preserve">Voting Rights:</w:t>
      </w:r>
      <w:r>
        <w:rPr>
          <w:rFonts w:ascii="Arial" w:cs="Arial" w:eastAsia="Arial" w:hAnsi="Arial"/>
          <w:sz w:val="22"/>
          <w:szCs w:val="22"/>
        </w:rPr>
        <w:t xml:space="preserve"> Participate in governance decisions</w:t>
      </w:r>
    </w:p>
    <w:p>
      <w:pPr>
        <w:pStyle w:val="ListParagraph"/>
        <w:numPr>
          <w:ilvl w:val="0"/>
          <w:numId w:val="2"/>
        </w:numPr>
      </w:pPr>
      <w:r>
        <w:rPr>
          <w:rFonts w:ascii="Arial" w:cs="Arial" w:eastAsia="Arial" w:hAnsi="Arial"/>
          <w:b/>
          <w:bCs/>
          <w:sz w:val="22"/>
          <w:szCs w:val="22"/>
        </w:rPr>
        <w:t xml:space="preserve">Lower Risk:</w:t>
      </w:r>
      <w:r>
        <w:rPr>
          <w:rFonts w:ascii="Arial" w:cs="Arial" w:eastAsia="Arial" w:hAnsi="Arial"/>
          <w:sz w:val="22"/>
          <w:szCs w:val="22"/>
        </w:rPr>
        <w:t xml:space="preserve"> No technical requirements like running a node</w:t>
      </w:r>
    </w:p>
    <w:p>
      <w:pPr>
        <w:spacing w:after="80"/>
      </w:pPr>
      <w:r>
        <w:t xml:space="preserve"/>
      </w:r>
    </w:p>
    <w:p>
      <w:pPr>
        <w:pStyle w:val="Heading2"/>
      </w:pPr>
      <w:r>
        <w:rPr>
          <w:rFonts w:ascii="Arial" w:cs="Arial" w:eastAsia="Arial" w:hAnsi="Arial"/>
        </w:rPr>
        <w:t xml:space="preserve">For the Network</w:t>
      </w:r>
    </w:p>
    <w:p>
      <w:pPr>
        <w:pStyle w:val="ListParagraph"/>
        <w:numPr>
          <w:ilvl w:val="0"/>
          <w:numId w:val="2"/>
        </w:numPr>
      </w:pPr>
      <w:r>
        <w:rPr>
          <w:rFonts w:ascii="Arial" w:cs="Arial" w:eastAsia="Arial" w:hAnsi="Arial"/>
          <w:b/>
          <w:bCs/>
          <w:sz w:val="22"/>
          <w:szCs w:val="22"/>
        </w:rPr>
        <w:t xml:space="preserve">Security:</w:t>
      </w:r>
      <w:r>
        <w:rPr>
          <w:rFonts w:ascii="Arial" w:cs="Arial" w:eastAsia="Arial" w:hAnsi="Arial"/>
          <w:sz w:val="22"/>
          <w:szCs w:val="22"/>
        </w:rPr>
        <w:t xml:space="preserve"> Economic incentives prevent attacks</w:t>
      </w:r>
    </w:p>
    <w:p>
      <w:pPr>
        <w:pStyle w:val="ListParagraph"/>
        <w:numPr>
          <w:ilvl w:val="0"/>
          <w:numId w:val="2"/>
        </w:numPr>
      </w:pPr>
      <w:r>
        <w:rPr>
          <w:rFonts w:ascii="Arial" w:cs="Arial" w:eastAsia="Arial" w:hAnsi="Arial"/>
          <w:b/>
          <w:bCs/>
          <w:sz w:val="22"/>
          <w:szCs w:val="22"/>
        </w:rPr>
        <w:t xml:space="preserve">Decentralization:</w:t>
      </w:r>
      <w:r>
        <w:rPr>
          <w:rFonts w:ascii="Arial" w:cs="Arial" w:eastAsia="Arial" w:hAnsi="Arial"/>
          <w:sz w:val="22"/>
          <w:szCs w:val="22"/>
        </w:rPr>
        <w:t xml:space="preserve"> Distributes influence across participants</w:t>
      </w:r>
    </w:p>
    <w:p>
      <w:pPr>
        <w:pStyle w:val="ListParagraph"/>
        <w:numPr>
          <w:ilvl w:val="0"/>
          <w:numId w:val="2"/>
        </w:numPr>
      </w:pPr>
      <w:r>
        <w:rPr>
          <w:rFonts w:ascii="Arial" w:cs="Arial" w:eastAsia="Arial" w:hAnsi="Arial"/>
          <w:b/>
          <w:bCs/>
          <w:sz w:val="22"/>
          <w:szCs w:val="22"/>
        </w:rPr>
        <w:t xml:space="preserve">Performance:</w:t>
      </w:r>
      <w:r>
        <w:rPr>
          <w:rFonts w:ascii="Arial" w:cs="Arial" w:eastAsia="Arial" w:hAnsi="Arial"/>
          <w:sz w:val="22"/>
          <w:szCs w:val="22"/>
        </w:rPr>
        <w:t xml:space="preserve"> Encourages active validator participation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4. Rewards Overview</w:t>
      </w:r>
    </w:p>
    <w:p>
      <w:pPr>
        <w:pStyle w:val="ListParagraph"/>
        <w:numPr>
          <w:ilvl w:val="0"/>
          <w:numId w:val="2"/>
        </w:numPr>
      </w:pPr>
      <w:r>
        <w:rPr>
          <w:rFonts w:ascii="Arial" w:cs="Arial" w:eastAsia="Arial" w:hAnsi="Arial"/>
          <w:sz w:val="22"/>
          <w:szCs w:val="22"/>
        </w:rPr>
        <w:t xml:space="preserve">Distributed every epoch (roughly every 24 hours)</w:t>
      </w:r>
    </w:p>
    <w:p>
      <w:pPr>
        <w:pStyle w:val="ListParagraph"/>
        <w:numPr>
          <w:ilvl w:val="0"/>
          <w:numId w:val="2"/>
        </w:numPr>
      </w:pPr>
      <w:r>
        <w:rPr>
          <w:rFonts w:ascii="Arial" w:cs="Arial" w:eastAsia="Arial" w:hAnsi="Arial"/>
          <w:sz w:val="22"/>
          <w:szCs w:val="22"/>
        </w:rPr>
        <w:t xml:space="preserve">Based on validator uptime, cluster performance (Synergy Points), amount staked, and reward tier (dynamic APY)</w:t>
      </w:r>
    </w:p>
    <w:p>
      <w:pPr>
        <w:pStyle w:val="ListParagraph"/>
        <w:numPr>
          <w:ilvl w:val="0"/>
          <w:numId w:val="2"/>
        </w:numPr>
      </w:pPr>
      <w:r>
        <w:rPr>
          <w:rFonts w:ascii="Arial" w:cs="Arial" w:eastAsia="Arial" w:hAnsi="Arial"/>
          <w:sz w:val="22"/>
          <w:szCs w:val="22"/>
        </w:rPr>
        <w:t xml:space="preserve">Rewards auto-compound (optional via wallet toggle)</w:t>
      </w:r>
    </w:p>
    <w:p>
      <w:pPr>
        <w:spacing w:after="80"/>
      </w:pPr>
      <w:r>
        <w:t xml:space="preserve"/>
      </w:r>
    </w:p>
    <w:p>
      <w:pPr>
        <w:pStyle w:val="Heading2"/>
      </w:pPr>
      <w:r>
        <w:rPr>
          <w:rFonts w:ascii="Arial" w:cs="Arial" w:eastAsia="Arial" w:hAnsi="Arial"/>
        </w:rPr>
        <w:t xml:space="preserve">Reward Rates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000"/>
        <w:gridCol w:w="5360"/>
      </w:tblGrid>
      <w:tr>
        <w:trPr>
          <w:tblHeader/>
        </w:trPr>
        <w:tc>
          <w:tcPr>
            <w:tcW w:type="dxa" w:w="300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Rate Type</w:t>
            </w:r>
          </w:p>
        </w:tc>
        <w:tc>
          <w:tcPr>
            <w:tcW w:type="dxa" w:w="5360"/>
            <w:tcBorders>
              <w:top w:val="single" w:color="D1D5DB" w:sz="1"/>
              <w:left w:val="single" w:color="D1D5DB" w:sz="1"/>
              <w:bottom w:val="single" w:color="D1D5DB" w:sz="1"/>
              <w:right w:val="single" w:color="D1D5DB" w:sz="1"/>
            </w:tcBorders>
            <w:shd w:fill="0A0F2C" w:val="clear"/>
            <w:tcMar>
              <w:top w:type="dxa" w:w="120"/>
              <w:left w:type="dxa" w:w="160"/>
              <w:bottom w:type="dxa" w:w="120"/>
              <w:right w:type="dxa" w:w="160"/>
            </w:tcMar>
          </w:tcPr>
          <w:p>
            <w:pPr>
              <w:spacing w:after="0"/>
            </w:pPr>
            <w:r>
              <w:rPr>
                <w:rFonts w:ascii="Arial" w:cs="Arial" w:eastAsia="Arial" w:hAnsi="Arial"/>
                <w:b/>
                <w:bCs/>
                <w:color w:val="FFFFFF"/>
                <w:sz w:val="20"/>
                <w:szCs w:val="20"/>
              </w:rPr>
              <w:t xml:space="preserve">Value</w:t>
            </w:r>
          </w:p>
        </w:tc>
      </w:tr>
      <w:tr>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Base Rate</w:t>
            </w:r>
          </w:p>
        </w:tc>
        <w:tc>
          <w:tcPr>
            <w:tcW w:type="dxa" w:w="5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5–15% APY (variable)</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Performance Bonus</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Up to 50% additional</w:t>
            </w:r>
          </w:p>
        </w:tc>
      </w:tr>
      <w:tr>
        <w:tc>
          <w:tcPr>
            <w:tcW w:type="dxa" w:w="300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Minimum Stake (SNRG)</w:t>
            </w:r>
          </w:p>
        </w:tc>
        <w:tc>
          <w:tcPr>
            <w:tcW w:type="dxa" w:w="5360"/>
            <w:tcBorders>
              <w:top w:val="single" w:color="D1D5DB" w:sz="1"/>
              <w:left w:val="single" w:color="D1D5DB" w:sz="1"/>
              <w:bottom w:val="single" w:color="D1D5DB" w:sz="1"/>
              <w:right w:val="single" w:color="D1D5DB" w:sz="1"/>
            </w:tcBorders>
            <w:shd w:fill="F8FAFF" w:val="clear"/>
            <w:tcMar>
              <w:top w:type="dxa" w:w="100"/>
              <w:left w:type="dxa" w:w="160"/>
              <w:bottom w:type="dxa" w:w="100"/>
              <w:right w:type="dxa" w:w="160"/>
            </w:tcMar>
          </w:tcPr>
          <w:p>
            <w:pPr>
              <w:spacing w:after="0"/>
            </w:pPr>
            <w:r>
              <w:rPr>
                <w:rFonts w:ascii="Arial" w:cs="Arial" w:eastAsia="Arial" w:hAnsi="Arial"/>
                <w:sz w:val="20"/>
                <w:szCs w:val="20"/>
              </w:rPr>
              <w:t xml:space="preserve">1,000 tokens</w:t>
            </w:r>
          </w:p>
        </w:tc>
      </w:tr>
      <w:tr>
        <w:tc>
          <w:tcPr>
            <w:tcW w:type="dxa" w:w="300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Unstaking Cooldown</w:t>
            </w:r>
          </w:p>
        </w:tc>
        <w:tc>
          <w:tcPr>
            <w:tcW w:type="dxa" w:w="5360"/>
            <w:tcBorders>
              <w:top w:val="single" w:color="D1D5DB" w:sz="1"/>
              <w:left w:val="single" w:color="D1D5DB" w:sz="1"/>
              <w:bottom w:val="single" w:color="D1D5DB" w:sz="1"/>
              <w:right w:val="single" w:color="D1D5DB" w:sz="1"/>
            </w:tcBorders>
            <w:shd w:fill="FFFFFF" w:val="clear"/>
            <w:tcMar>
              <w:top w:type="dxa" w:w="100"/>
              <w:left w:type="dxa" w:w="160"/>
              <w:bottom w:type="dxa" w:w="100"/>
              <w:right w:type="dxa" w:w="160"/>
            </w:tcMar>
          </w:tcPr>
          <w:p>
            <w:pPr>
              <w:spacing w:after="0"/>
            </w:pPr>
            <w:r>
              <w:rPr>
                <w:rFonts w:ascii="Arial" w:cs="Arial" w:eastAsia="Arial" w:hAnsi="Arial"/>
                <w:sz w:val="20"/>
                <w:szCs w:val="20"/>
              </w:rPr>
              <w:t xml:space="preserve">7-day cooldown period</w:t>
            </w:r>
          </w:p>
        </w:tc>
      </w:tr>
    </w:tbl>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5. Staking via GUI Wallet</w:t>
      </w:r>
    </w:p>
    <w:p>
      <w:pPr>
        <w:pStyle w:val="ListParagraph"/>
        <w:numPr>
          <w:ilvl w:val="0"/>
          <w:numId w:val="3"/>
        </w:numPr>
      </w:pPr>
      <w:r>
        <w:rPr>
          <w:rFonts w:ascii="Arial" w:cs="Arial" w:eastAsia="Arial" w:hAnsi="Arial"/>
          <w:sz w:val="22"/>
          <w:szCs w:val="22"/>
        </w:rPr>
        <w:t xml:space="preserve">Open the Synergy Wallet Tool.</w:t>
      </w:r>
    </w:p>
    <w:p>
      <w:pPr>
        <w:pStyle w:val="ListParagraph"/>
        <w:numPr>
          <w:ilvl w:val="0"/>
          <w:numId w:val="3"/>
        </w:numPr>
      </w:pPr>
      <w:r>
        <w:rPr>
          <w:rFonts w:ascii="Arial" w:cs="Arial" w:eastAsia="Arial" w:hAnsi="Arial"/>
          <w:sz w:val="22"/>
          <w:szCs w:val="22"/>
        </w:rPr>
        <w:t xml:space="preserve">Go to the Staking tab.</w:t>
      </w:r>
    </w:p>
    <w:p>
      <w:pPr>
        <w:pStyle w:val="ListParagraph"/>
        <w:numPr>
          <w:ilvl w:val="0"/>
          <w:numId w:val="3"/>
        </w:numPr>
      </w:pPr>
      <w:r>
        <w:rPr>
          <w:rFonts w:ascii="Arial" w:cs="Arial" w:eastAsia="Arial" w:hAnsi="Arial"/>
          <w:sz w:val="22"/>
          <w:szCs w:val="22"/>
        </w:rPr>
        <w:t xml:space="preserve">Browse validator list.</w:t>
      </w:r>
    </w:p>
    <w:p>
      <w:pPr>
        <w:pStyle w:val="ListParagraph"/>
        <w:numPr>
          <w:ilvl w:val="0"/>
          <w:numId w:val="3"/>
        </w:numPr>
      </w:pPr>
      <w:r>
        <w:rPr>
          <w:rFonts w:ascii="Arial" w:cs="Arial" w:eastAsia="Arial" w:hAnsi="Arial"/>
          <w:sz w:val="22"/>
          <w:szCs w:val="22"/>
        </w:rPr>
        <w:t xml:space="preserve">Choose a validator and click Delegate.</w:t>
      </w:r>
    </w:p>
    <w:p>
      <w:pPr>
        <w:pStyle w:val="ListParagraph"/>
        <w:numPr>
          <w:ilvl w:val="0"/>
          <w:numId w:val="3"/>
        </w:numPr>
      </w:pPr>
      <w:r>
        <w:rPr>
          <w:rFonts w:ascii="Arial" w:cs="Arial" w:eastAsia="Arial" w:hAnsi="Arial"/>
          <w:sz w:val="22"/>
          <w:szCs w:val="22"/>
        </w:rPr>
        <w:t xml:space="preserve">Enter amount and confirm.</w:t>
      </w:r>
    </w:p>
    <w:p>
      <w:pPr>
        <w:pStyle w:val="ListParagraph"/>
        <w:numPr>
          <w:ilvl w:val="0"/>
          <w:numId w:val="3"/>
        </w:numPr>
      </w:pPr>
      <w:r>
        <w:rPr>
          <w:rFonts w:ascii="Arial" w:cs="Arial" w:eastAsia="Arial" w:hAnsi="Arial"/>
          <w:sz w:val="22"/>
          <w:szCs w:val="22"/>
        </w:rPr>
        <w:t xml:space="preserve">View staked SYN and projected APY in dashboard.</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6. Staking via CLI</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stake delegate --amount 1000 --validator &lt;validator_address&gt;</w:t>
      </w:r>
    </w:p>
    <w:p>
      <w:pPr>
        <w:spacing w:after="80"/>
      </w:pPr>
      <w:r>
        <w:t xml:space="preserve"/>
      </w:r>
    </w:p>
    <w:p>
      <w:pPr>
        <w:pStyle w:val="Normal"/>
      </w:pPr>
      <w:r>
        <w:rPr>
          <w:rFonts w:ascii="Arial" w:cs="Arial" w:eastAsia="Arial" w:hAnsi="Arial"/>
        </w:rPr>
        <w:t xml:space="preserve">Check rewards: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stake rewards</w:t>
      </w:r>
    </w:p>
    <w:p>
      <w:pPr>
        <w:spacing w:after="80"/>
      </w:pPr>
      <w:r>
        <w:t xml:space="preserve"/>
      </w:r>
    </w:p>
    <w:p>
      <w:pPr>
        <w:pStyle w:val="Normal"/>
      </w:pPr>
      <w:r>
        <w:rPr>
          <w:rFonts w:ascii="Arial" w:cs="Arial" w:eastAsia="Arial" w:hAnsi="Arial"/>
        </w:rPr>
        <w:t xml:space="preserve">Withdraw rewards: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stake claim</w:t>
      </w:r>
    </w:p>
    <w:p>
      <w:pPr>
        <w:spacing w:after="80"/>
      </w:pPr>
      <w:r>
        <w:t xml:space="preserve"/>
      </w:r>
    </w:p>
    <w:p>
      <w:pPr>
        <w:pStyle w:val="Normal"/>
      </w:pPr>
      <w:r>
        <w:rPr>
          <w:rFonts w:ascii="Arial" w:cs="Arial" w:eastAsia="Arial" w:hAnsi="Arial"/>
        </w:rPr>
        <w:t xml:space="preserve">View staking history:</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stake history</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7. Staking via JSON-RPC</w:t>
      </w:r>
    </w:p>
    <w:p>
      <w:pPr>
        <w:pStyle w:val="Heading2"/>
      </w:pPr>
      <w:r>
        <w:rPr>
          <w:rFonts w:ascii="Arial" w:cs="Arial" w:eastAsia="Arial" w:hAnsi="Arial"/>
        </w:rPr>
        <w:t xml:space="preserve">Stake Tokens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"jsonrpc": "2.0",
  "method": "synergy_stakeTokensDirect",
  "params": ["sYn...", "sYn...", "SNRG", 1000000],
  "id": 1
}</w:t>
      </w:r>
    </w:p>
    <w:p>
      <w:pPr>
        <w:spacing w:after="80"/>
      </w:pPr>
      <w:r>
        <w:t xml:space="preserve"/>
      </w:r>
    </w:p>
    <w:p>
      <w:pPr>
        <w:pStyle w:val="Heading2"/>
      </w:pPr>
      <w:r>
        <w:rPr>
          <w:rFonts w:ascii="Arial" w:cs="Arial" w:eastAsia="Arial" w:hAnsi="Arial"/>
        </w:rPr>
        <w:t xml:space="preserve">Get Staking Info</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"jsonrpc": "2.0",
  "method": "synergy_getStakingInfo",
  "params": ["sYn..."],
  "id": 1
}</w:t>
      </w:r>
    </w:p>
    <w:p>
      <w:pPr>
        <w:spacing w:after="80"/>
      </w:pPr>
      <w:r>
        <w:t xml:space="preserve"/>
      </w:r>
    </w:p>
    <w:p>
      <w:pPr>
        <w:pStyle w:val="Heading2"/>
      </w:pPr>
      <w:r>
        <w:rPr>
          <w:rFonts w:ascii="Arial" w:cs="Arial" w:eastAsia="Arial" w:hAnsi="Arial"/>
        </w:rPr>
        <w:t xml:space="preserve">Unstake Tokens</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
  "jsonrpc": "2.0",
  "method": "synergy_unstakeTokens",
  "params": ["sYn...", "sYn...", "SNRG", 500000],
  "id": 1
}</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8. Becoming a Validator</w:t>
      </w:r>
    </w:p>
    <w:p>
      <w:pPr>
        <w:pStyle w:val="Normal"/>
      </w:pPr>
      <w:r>
        <w:rPr>
          <w:rFonts w:ascii="Arial" w:cs="Arial" w:eastAsia="Arial" w:hAnsi="Arial"/>
        </w:rPr>
        <w:t xml:space="preserve">Requirements:</w:t>
      </w:r>
    </w:p>
    <w:p>
      <w:pPr>
        <w:pStyle w:val="ListParagraph"/>
        <w:numPr>
          <w:ilvl w:val="0"/>
          <w:numId w:val="2"/>
        </w:numPr>
      </w:pPr>
      <w:r>
        <w:rPr>
          <w:rFonts w:ascii="Arial" w:cs="Arial" w:eastAsia="Arial" w:hAnsi="Arial"/>
          <w:sz w:val="22"/>
          <w:szCs w:val="22"/>
        </w:rPr>
        <w:t xml:space="preserve">Minimum SYN bond (set by governance, e.g., 25,000 SYN)</w:t>
      </w:r>
    </w:p>
    <w:p>
      <w:pPr>
        <w:pStyle w:val="ListParagraph"/>
        <w:numPr>
          <w:ilvl w:val="0"/>
          <w:numId w:val="2"/>
        </w:numPr>
      </w:pPr>
      <w:r>
        <w:rPr>
          <w:rFonts w:ascii="Arial" w:cs="Arial" w:eastAsia="Arial" w:hAnsi="Arial"/>
          <w:sz w:val="22"/>
          <w:szCs w:val="22"/>
        </w:rPr>
        <w:t xml:space="preserve">High Synergy Score</w:t>
      </w:r>
    </w:p>
    <w:p>
      <w:pPr>
        <w:pStyle w:val="ListParagraph"/>
        <w:numPr>
          <w:ilvl w:val="0"/>
          <w:numId w:val="2"/>
        </w:numPr>
      </w:pPr>
      <w:r>
        <w:rPr>
          <w:rFonts w:ascii="Arial" w:cs="Arial" w:eastAsia="Arial" w:hAnsi="Arial"/>
          <w:sz w:val="22"/>
          <w:szCs w:val="22"/>
        </w:rPr>
        <w:t xml:space="preserve">Node uptime and correct setup</w:t>
      </w:r>
    </w:p>
    <w:p>
      <w:pPr>
        <w:spacing w:after="80"/>
      </w:pPr>
      <w:r>
        <w:t xml:space="preserve"/>
      </w:r>
    </w:p>
    <w:p>
      <w:pPr>
        <w:pStyle w:val="Normal"/>
      </w:pPr>
      <w:r>
        <w:rPr>
          <w:rFonts w:ascii="Arial" w:cs="Arial" w:eastAsia="Arial" w:hAnsi="Arial"/>
        </w:rPr>
        <w:t xml:space="preserve">Register via CLI:</w:t>
      </w:r>
    </w:p>
    <w:p>
      <w:pPr>
        <w:pBdr>
          <w:left w:val="single" w:color="0060FF" w:sz="12" w:space="8"/>
        </w:pBdr>
        <w:shd w:fill="F7F9FF"/>
        <w:spacing w:before="80" w:after="80"/>
        <w:ind w:left="720"/>
      </w:pPr>
      <w:r>
        <w:rPr>
          <w:rFonts w:ascii="Courier New" w:cs="Courier New" w:eastAsia="Courier New" w:hAnsi="Courier New"/>
          <w:color w:val="0A0F2C"/>
          <w:sz w:val="18"/>
          <w:szCs w:val="18"/>
        </w:rPr>
        <w:t xml:space="preserve">synergy-cli validator register --name "MyNode" --bond 25000</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9. Unstaking and Lock Periods</w:t>
      </w:r>
    </w:p>
    <w:p>
      <w:pPr>
        <w:pStyle w:val="ListParagraph"/>
        <w:numPr>
          <w:ilvl w:val="0"/>
          <w:numId w:val="2"/>
        </w:numPr>
      </w:pPr>
      <w:r>
        <w:rPr>
          <w:rFonts w:ascii="Arial" w:cs="Arial" w:eastAsia="Arial" w:hAnsi="Arial"/>
          <w:sz w:val="22"/>
          <w:szCs w:val="22"/>
        </w:rPr>
        <w:t xml:space="preserve">Unstaking requires a 7-day cooldown period</w:t>
      </w:r>
    </w:p>
    <w:p>
      <w:pPr>
        <w:pStyle w:val="ListParagraph"/>
        <w:numPr>
          <w:ilvl w:val="0"/>
          <w:numId w:val="2"/>
        </w:numPr>
      </w:pPr>
      <w:r>
        <w:rPr>
          <w:rFonts w:ascii="Arial" w:cs="Arial" w:eastAsia="Arial" w:hAnsi="Arial"/>
          <w:sz w:val="22"/>
          <w:szCs w:val="22"/>
        </w:rPr>
        <w:t xml:space="preserve">Tokens remain visible but are locked during cooldown</w:t>
      </w:r>
    </w:p>
    <w:p>
      <w:pPr>
        <w:pStyle w:val="ListParagraph"/>
        <w:numPr>
          <w:ilvl w:val="0"/>
          <w:numId w:val="2"/>
        </w:numPr>
      </w:pPr>
      <w:r>
        <w:rPr>
          <w:rFonts w:ascii="Arial" w:cs="Arial" w:eastAsia="Arial" w:hAnsi="Arial"/>
          <w:sz w:val="22"/>
          <w:szCs w:val="22"/>
        </w:rPr>
        <w:t xml:space="preserve">Early slashing can occur if validator misbehaves during cooldown</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10. Risks and Safeguards</w:t>
      </w:r>
    </w:p>
    <w:p>
      <w:pPr>
        <w:pStyle w:val="ListParagraph"/>
        <w:numPr>
          <w:ilvl w:val="0"/>
          <w:numId w:val="2"/>
        </w:numPr>
      </w:pPr>
      <w:r>
        <w:rPr>
          <w:rFonts w:ascii="Arial" w:cs="Arial" w:eastAsia="Arial" w:hAnsi="Arial"/>
          <w:b/>
          <w:bCs/>
          <w:sz w:val="22"/>
          <w:szCs w:val="22"/>
        </w:rPr>
        <w:t xml:space="preserve">Slashing Risks:</w:t>
      </w:r>
      <w:r>
        <w:rPr>
          <w:rFonts w:ascii="Arial" w:cs="Arial" w:eastAsia="Arial" w:hAnsi="Arial"/>
          <w:sz w:val="22"/>
          <w:szCs w:val="22"/>
        </w:rPr>
        <w:t xml:space="preserve"> Delegated SYN is subject to slashing if validator acts maliciously.</w:t>
      </w:r>
    </w:p>
    <w:p>
      <w:pPr>
        <w:pStyle w:val="ListParagraph"/>
        <w:numPr>
          <w:ilvl w:val="0"/>
          <w:numId w:val="2"/>
        </w:numPr>
      </w:pPr>
      <w:r>
        <w:rPr>
          <w:rFonts w:ascii="Arial" w:cs="Arial" w:eastAsia="Arial" w:hAnsi="Arial"/>
          <w:b/>
          <w:bCs/>
          <w:sz w:val="22"/>
          <w:szCs w:val="22"/>
        </w:rPr>
        <w:t xml:space="preserve">Market Risks:</w:t>
      </w:r>
      <w:r>
        <w:rPr>
          <w:rFonts w:ascii="Arial" w:cs="Arial" w:eastAsia="Arial" w:hAnsi="Arial"/>
          <w:sz w:val="22"/>
          <w:szCs w:val="22"/>
        </w:rPr>
        <w:t xml:space="preserve"> Token volatility and opportunity cost of locked tokens.</w:t>
      </w:r>
    </w:p>
    <w:p>
      <w:pPr>
        <w:pStyle w:val="ListParagraph"/>
        <w:numPr>
          <w:ilvl w:val="0"/>
          <w:numId w:val="2"/>
        </w:numPr>
      </w:pPr>
      <w:r>
        <w:rPr>
          <w:rFonts w:ascii="Arial" w:cs="Arial" w:eastAsia="Arial" w:hAnsi="Arial"/>
          <w:b/>
          <w:bCs/>
          <w:sz w:val="22"/>
          <w:szCs w:val="22"/>
        </w:rPr>
        <w:t xml:space="preserve">Technical Risks:</w:t>
      </w:r>
      <w:r>
        <w:rPr>
          <w:rFonts w:ascii="Arial" w:cs="Arial" w:eastAsia="Arial" w:hAnsi="Arial"/>
          <w:sz w:val="22"/>
          <w:szCs w:val="22"/>
        </w:rPr>
        <w:t xml:space="preserve"> Validator hardware/software failures or smart contract bugs.</w:t>
      </w:r>
    </w:p>
    <w:p>
      <w:pPr>
        <w:spacing w:after="80"/>
      </w:pPr>
      <w:r>
        <w:t xml:space="preserve"/>
      </w:r>
    </w:p>
    <w:p>
      <w:pPr>
        <w:pStyle w:val="Normal"/>
      </w:pPr>
      <w:r>
        <w:rPr>
          <w:rFonts w:ascii="Arial" w:cs="Arial" w:eastAsia="Arial" w:hAnsi="Arial"/>
        </w:rPr>
        <w:t xml:space="preserve">Always research validator history and Synergy Score before delegating. Use multiple validators to diversify risk.</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11. Best Practices</w:t>
      </w:r>
    </w:p>
    <w:p>
      <w:pPr>
        <w:pStyle w:val="ListParagraph"/>
        <w:numPr>
          <w:ilvl w:val="0"/>
          <w:numId w:val="2"/>
        </w:numPr>
      </w:pPr>
      <w:r>
        <w:rPr>
          <w:rFonts w:ascii="Arial" w:cs="Arial" w:eastAsia="Arial" w:hAnsi="Arial"/>
          <w:sz w:val="22"/>
          <w:szCs w:val="22"/>
        </w:rPr>
        <w:t xml:space="preserve">Start with small amounts to learn the process</w:t>
      </w:r>
    </w:p>
    <w:p>
      <w:pPr>
        <w:pStyle w:val="ListParagraph"/>
        <w:numPr>
          <w:ilvl w:val="0"/>
          <w:numId w:val="2"/>
        </w:numPr>
      </w:pPr>
      <w:r>
        <w:rPr>
          <w:rFonts w:ascii="Arial" w:cs="Arial" w:eastAsia="Arial" w:hAnsi="Arial"/>
          <w:sz w:val="22"/>
          <w:szCs w:val="22"/>
        </w:rPr>
        <w:t xml:space="preserve">Stake across multiple validators to diversify risk</w:t>
      </w:r>
    </w:p>
    <w:p>
      <w:pPr>
        <w:pStyle w:val="ListParagraph"/>
        <w:numPr>
          <w:ilvl w:val="0"/>
          <w:numId w:val="2"/>
        </w:numPr>
      </w:pPr>
      <w:r>
        <w:rPr>
          <w:rFonts w:ascii="Arial" w:cs="Arial" w:eastAsia="Arial" w:hAnsi="Arial"/>
          <w:sz w:val="22"/>
          <w:szCs w:val="22"/>
        </w:rPr>
        <w:t xml:space="preserve">Monitor validator performance regularly</w:t>
      </w:r>
    </w:p>
    <w:p>
      <w:pPr>
        <w:pStyle w:val="ListParagraph"/>
        <w:numPr>
          <w:ilvl w:val="0"/>
          <w:numId w:val="2"/>
        </w:numPr>
      </w:pPr>
      <w:r>
        <w:rPr>
          <w:rFonts w:ascii="Arial" w:cs="Arial" w:eastAsia="Arial" w:hAnsi="Arial"/>
          <w:sz w:val="22"/>
          <w:szCs w:val="22"/>
        </w:rPr>
        <w:t xml:space="preserve">Re-stake rewards to compound returns</w:t>
      </w:r>
    </w:p>
    <w:p>
      <w:pPr>
        <w:pStyle w:val="ListParagraph"/>
        <w:numPr>
          <w:ilvl w:val="0"/>
          <w:numId w:val="2"/>
        </w:numPr>
      </w:pPr>
      <w:r>
        <w:rPr>
          <w:rFonts w:ascii="Arial" w:cs="Arial" w:eastAsia="Arial" w:hAnsi="Arial"/>
          <w:sz w:val="22"/>
          <w:szCs w:val="22"/>
        </w:rPr>
        <w:t xml:space="preserve">Stay informed about network changes and participate in governance</w:t>
      </w:r>
    </w:p>
    <w:p>
      <w:pPr>
        <w:spacing w:after="80"/>
      </w:pPr>
      <w:r>
        <w:t xml:space="preserve"/>
      </w:r>
    </w:p>
    <w:p>
      <w:pPr>
        <w:pBdr>
          <w:bottom w:val="single" w:color="CCCCCC" w:sz="4" w:space="4"/>
        </w:pBdr>
        <w:spacing w:before="160" w:after="160"/>
      </w:pPr>
    </w:p>
    <w:p>
      <w:pPr>
        <w:pStyle w:val="Heading1"/>
      </w:pPr>
      <w:r>
        <w:rPr>
          <w:rFonts w:ascii="Arial" w:cs="Arial" w:eastAsia="Arial" w:hAnsi="Arial"/>
        </w:rPr>
        <w:t xml:space="preserve">12. Conclusion</w:t>
      </w:r>
    </w:p>
    <w:p>
      <w:pPr>
        <w:pStyle w:val="Normal"/>
      </w:pPr>
      <w:r>
        <w:rPr>
          <w:rFonts w:ascii="Arial" w:cs="Arial" w:eastAsia="Arial" w:hAnsi="Arial"/>
        </w:rPr>
        <w:t xml:space="preserve">Staking is a critical function of the Synergy Network's collaborative consensus. It provides security, enables reward distribution, and grants governance power. By participating in staking, you actively contribute to the growth, decentralization, and resilience of the Synergy ecosystem.</w:t>
      </w:r>
    </w:p>
    <w:sectPr>
      <w:headerReference w:type="default" r:id="rId6"/>
      <w:footerReference w:type="default" r:id="rId7"/>
      <w:pgSz w:w="12240" w:h="15840" w:orient="portrait"/>
      <w:pgMar w:top="1440" w:right="1296" w:bottom="1440"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spacing w:before="80"/>
      <w:jc w:val="right"/>
    </w:pPr>
    <w:r>
      <w:rPr>
        <w:rFonts w:ascii="Arial" w:cs="Arial" w:eastAsia="Arial" w:hAnsi="Arial"/>
        <w:color w:val="4A5568"/>
        <w:sz w:val="16"/>
        <w:szCs w:val="16"/>
      </w:rPr>
      <w:t xml:space="preserve">© 2025 Synergy Network. Confidential.</w:t>
    </w:r>
    <w:r>
      <w:rPr>
        <w:rFonts w:ascii="Arial" w:cs="Arial" w:eastAsia="Arial" w:hAnsi="Arial"/>
        <w:color w:val="4A5568"/>
        <w:sz w:val="16"/>
        <w:szCs w:val="16"/>
      </w:rPr>
      <w:t xml:space="preserve">    Page </w:t>
    </w:r>
    <w:r>
      <w:rPr>
        <w:rFonts w:ascii="Arial" w:cs="Arial" w:eastAsia="Arial" w:hAnsi="Arial"/>
        <w:color w:val="4A5568"/>
        <w:sz w:val="16"/>
        <w:szCs w:val="16"/>
      </w:rPr>
      <w:fldChar w:fldCharType="begin"/>
      <w:instrText xml:space="preserve">PAGE</w:instrText>
      <w:fldChar w:fldCharType="separate"/>
      <w:fldChar w:fldCharType="end"/>
    </w:r>
    <w:r>
      <w:rPr>
        <w:rFonts w:ascii="Arial" w:cs="Arial" w:eastAsia="Arial" w:hAnsi="Arial"/>
        <w:color w:val="4A5568"/>
        <w:sz w:val="16"/>
        <w:szCs w:val="16"/>
      </w:rPr>
      <w:t xml:space="preserve"> of </w:t>
    </w:r>
    <w:r>
      <w:rPr>
        <w:rFonts w:ascii="Arial" w:cs="Arial" w:eastAsia="Arial" w:hAnsi="Arial"/>
        <w:color w:val="4A55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0FF" w:sz="4" w:space="4"/>
      </w:pBdr>
      <w:spacing w:after="80"/>
    </w:pPr>
    <w:r>
      <w:rPr>
        <w:rFonts w:ascii="Arial" w:cs="Arial" w:eastAsia="Arial" w:hAnsi="Arial"/>
        <w:b/>
        <w:bCs/>
        <w:color w:val="0060FF"/>
        <w:sz w:val="16"/>
        <w:szCs w:val="16"/>
      </w:rPr>
      <w:t xml:space="preserve">SYNERGY NETWORK</w:t>
    </w:r>
    <w:r>
      <w:rPr>
        <w:rFonts w:ascii="Arial" w:cs="Arial" w:eastAsia="Arial" w:hAnsi="Arial"/>
        <w:color w:val="4A5568"/>
        <w:sz w:val="16"/>
        <w:szCs w:val="16"/>
      </w:rPr>
      <w:t xml:space="preserve">    Staking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100"/>
        <w:ind w:left="720" w:hanging="360"/>
      </w:pPr>
      <w:rPr>
        <w:rFonts w:ascii="Arial" w:cs="Arial" w:eastAsia="Arial" w:hAnsi="Arial"/>
        <w:sz w:val="22"/>
        <w:szCs w:val="22"/>
      </w:rPr>
    </w:lvl>
    <w:lvl w:ilvl="1" w15:tentative="1">
      <w:start w:val="1"/>
      <w:numFmt w:val="bullet"/>
      <w:lvlText w:val="◦"/>
      <w:lvlJc w:val="left"/>
      <w:pPr>
        <w:spacing w:after="80"/>
        <w:ind w:left="1080" w:hanging="360"/>
      </w:pPr>
      <w:rPr>
        <w:rFonts w:ascii="Arial" w:cs="Arial" w:eastAsia="Arial" w:hAnsi="Arial"/>
        <w:sz w:val="22"/>
        <w:szCs w:val="22"/>
      </w:rPr>
    </w:lvl>
  </w:abstractNum>
  <w:abstractNum w:abstractNumId="3" w15:restartNumberingAfterBreak="0">
    <w:multiLevelType w:val="hybridMultilevel"/>
    <w:lvl w:ilvl="0" w15:tentative="1">
      <w:start w:val="1"/>
      <w:numFmt w:val="decimal"/>
      <w:lvlText w:val="%1."/>
      <w:lvlJc w:val="left"/>
      <w:pPr>
        <w:spacing w:after="120"/>
        <w:ind w:left="720" w:hanging="360"/>
      </w:pPr>
      <w:rPr>
        <w:rFonts w:ascii="Arial" w:cs="Arial" w:eastAsia="Arial" w:hAnsi="Arial"/>
        <w:b/>
        <w:bCs/>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0060FF" w:sz="6" w:space="6"/>
      </w:pBdr>
      <w:spacing w:before="480" w:after="160"/>
      <w:outlineLvl w:val="0"/>
    </w:pPr>
    <w:rPr>
      <w:rFonts w:ascii="Arial" w:cs="Arial" w:eastAsia="Arial" w:hAnsi="Arial"/>
      <w:b/>
      <w:bCs/>
      <w:color w:val="0A0F2C"/>
      <w:sz w:val="36"/>
      <w:szCs w:val="36"/>
    </w:rPr>
  </w:style>
  <w:style w:type="paragraph" w:styleId="Heading2">
    <w:name w:val="Heading 2"/>
    <w:basedOn w:val="Normal"/>
    <w:next w:val="Normal"/>
    <w:qFormat/>
    <w:pPr>
      <w:spacing w:before="360" w:after="120"/>
      <w:outlineLvl w:val="1"/>
    </w:pPr>
    <w:rPr>
      <w:rFonts w:ascii="Arial" w:cs="Arial" w:eastAsia="Arial" w:hAnsi="Arial"/>
      <w:b/>
      <w:bCs/>
      <w:color w:val="0A0F2C"/>
      <w:sz w:val="28"/>
      <w:szCs w:val="28"/>
    </w:rPr>
  </w:style>
  <w:style w:type="paragraph" w:styleId="Heading3">
    <w:name w:val="Heading 3"/>
    <w:basedOn w:val="Normal"/>
    <w:next w:val="Normal"/>
    <w:qFormat/>
    <w:pPr>
      <w:spacing w:before="240" w:after="80"/>
      <w:outlineLvl w:val="2"/>
    </w:pPr>
    <w:rPr>
      <w:rFonts w:ascii="Arial" w:cs="Arial" w:eastAsia="Arial" w:hAnsi="Arial"/>
      <w:b/>
      <w:bCs/>
      <w:color w:val="0060FF"/>
      <w:sz w:val="24"/>
      <w:szCs w:val="24"/>
    </w:rPr>
  </w:style>
  <w:style w:type="paragraph" w:styleId="Normal">
    <w:name w:val="Normal"/>
    <w:qFormat/>
    <w:pPr>
      <w:spacing w:after="160" w:line="276" w:lineRule="auto"/>
    </w:pPr>
    <w:rPr>
      <w:rFonts w:ascii="Arial" w:cs="Arial" w:eastAsia="Arial" w:hAnsi="Arial"/>
      <w:color w:val="1A1A2E"/>
      <w:sz w:val="22"/>
      <w:szCs w:val="22"/>
    </w:rPr>
  </w:style>
  <w:style w:type="paragraph" w:styleId="BlockQuote">
    <w:name w:val="Block Quote"/>
    <w:basedOn w:val="Normal"/>
    <w:pPr>
      <w:pBdr>
        <w:left w:val="single" w:color="0060FF" w:sz="12" w:space="12"/>
      </w:pBdr>
      <w:spacing w:after="160" w:line="276"/>
      <w:ind w:left="720" w:right="360"/>
    </w:pPr>
    <w:rPr>
      <w:rFonts w:ascii="Arial" w:cs="Arial" w:eastAsia="Arial" w:hAnsi="Arial"/>
      <w:i/>
      <w:iCs/>
      <w:color w:val="4A5568"/>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2026-03-13T19:20:55.507Z</dcterms:created>
  <dcterms:modified xsi:type="dcterms:W3CDTF">2026-03-13T19:20:55.508Z</dcterms:modified>
</cp:coreProperties>
</file>

<file path=docProps/custom.xml><?xml version="1.0" encoding="utf-8"?>
<Properties xmlns="http://schemas.openxmlformats.org/officeDocument/2006/custom-properties" xmlns:vt="http://schemas.openxmlformats.org/officeDocument/2006/docPropsVTypes"/>
</file>