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Token System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Technical Reference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features a comprehensive token system that supports multiple token types, staking, and advanced token operations. The system is designed to be flexible and extensible while maintaining security and performance.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Token Structure</w:t>
      </w:r>
    </w:p>
    <w:p>
      <w:pPr>
        <w:pStyle w:val="Heading2"/>
      </w:pPr>
      <w:r>
        <w:rPr>
          <w:rFonts w:ascii="Arial" w:cs="Arial" w:eastAsia="Arial" w:hAnsi="Arial"/>
        </w:rPr>
        <w:t xml:space="preserve">Token Properties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(e.g., "SNRG", "USDS")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name (e.g., "Synergy Coin", "Synergy USD")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Decimals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decimal places (9 is Synergy Network default)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Supply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circulating supply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Supply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possible supply (optional)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Mintable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Whether new tokens can be created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Burnable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Whether tokens can be destroyed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Creator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that created the token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Native Token: SNRG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SNRG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SynergyCoin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Decimals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Supply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12,000,000,000 SNRG (12 billion)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Mintable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Burnable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Token Operations</w:t>
      </w:r>
    </w:p>
    <w:p>
      <w:pPr>
        <w:pStyle w:val="Heading2"/>
      </w:pPr>
      <w:r>
        <w:rPr>
          <w:rFonts w:ascii="Arial" w:cs="Arial" w:eastAsia="Arial" w:hAnsi="Arial"/>
        </w:rPr>
        <w:t xml:space="preserve">Creating Tokens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"synergy_createToken",
  "params": ["MYTOKEN", "My Token", 18, 1000000, "sYn..."],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Minting Tokens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"synergy_mintTokens",
  "params": ["sYn...", "SNRG", 1000000],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Burning Tokens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"synergy_burnTokens",
  "params": ["sYn...", "SNRG", 1000000],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Transferring Tokens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"synergy_transferTokens",
  "params": ["sYn...", "sYn...", "SNRG", 1000],
  "id": 1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Balance Management</w:t>
      </w:r>
    </w:p>
    <w:p>
      <w:pPr>
        <w:pStyle w:val="Heading2"/>
      </w:pPr>
      <w:r>
        <w:rPr>
          <w:rFonts w:ascii="Arial" w:cs="Arial" w:eastAsia="Arial" w:hAnsi="Arial"/>
        </w:rPr>
        <w:t xml:space="preserve">Single Token Balance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"synergy_getTokenBalance",
  "params": ["sYn...", "SNRG"],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All Token Balances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"synergy_getAllBalances",
  "params": ["sYn..."],
  "id": 1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Staking System</w:t>
      </w:r>
    </w:p>
    <w:p>
      <w:pPr>
        <w:pStyle w:val="Heading2"/>
      </w:pPr>
      <w:r>
        <w:rPr>
          <w:rFonts w:ascii="Arial" w:cs="Arial" w:eastAsia="Arial" w:hAnsi="Arial"/>
        </w:rPr>
        <w:t xml:space="preserve">Stake Tokens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"synergy_stakeTokensDirect",
  "params": ["sYn...", "sYn...", "SNRG", 1000000],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Unstake Tokens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"synergy_unstakeTokens",
  "params": ["sYn...", "sYn...", "SNRG", 500000],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Get Staking Info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"synergy_getStakingInfo",
  "params": ["sYn..."],
  "id": 1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Security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Balance Validation:</w:t>
      </w:r>
      <w:r>
        <w:rPr>
          <w:rFonts w:ascii="Arial" w:cs="Arial" w:eastAsia="Arial" w:hAnsi="Arial"/>
          <w:sz w:val="22"/>
          <w:szCs w:val="22"/>
        </w:rPr>
        <w:t xml:space="preserve"> All operations include validation to prevent insufficient funds, double-spending, and invalid operations.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Control:</w:t>
      </w:r>
      <w:r>
        <w:rPr>
          <w:rFonts w:ascii="Arial" w:cs="Arial" w:eastAsia="Arial" w:hAnsi="Arial"/>
          <w:sz w:val="22"/>
          <w:szCs w:val="22"/>
        </w:rPr>
        <w:t xml:space="preserve"> Only authorized addresses can mint tokens; burn and transfer validate sender balance.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Management:</w:t>
      </w:r>
      <w:r>
        <w:rPr>
          <w:rFonts w:ascii="Arial" w:cs="Arial" w:eastAsia="Arial" w:hAnsi="Arial"/>
          <w:sz w:val="22"/>
          <w:szCs w:val="22"/>
        </w:rPr>
        <w:t xml:space="preserve"> Persistent storage, atomic operations, and rollback capabilities for failed operations.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Troubleshooting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"Insufficient balance"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you have enough tokens for the operation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"Token not found"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token symbol is correct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"Unauthorized"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if you have permission for the operation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"Network error"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node connectivity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Token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2026-03-13T19:20:55.622Z</dcterms:created>
  <dcterms:modified xsi:type="dcterms:W3CDTF">2026-03-13T19:20:55.622Z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