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0A0F2C"/>
          <w:sz w:val="72"/>
          <w:szCs w:val="72"/>
        </w:rPr>
        <w:t xml:space="preserve">Wallet Usage Guide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0060FF"/>
          <w:sz w:val="32"/>
          <w:szCs w:val="32"/>
        </w:rPr>
        <w:t xml:space="preserve">Synergy Network API Reference</w:t>
      </w:r>
    </w:p>
    <w:p>
      <w:pPr>
        <w:pBdr>
          <w:bottom w:val="single" w:color="CCCCCC" w:sz="4" w:space="4"/>
        </w:pBdr>
        <w:spacing w:before="160" w:after="160"/>
      </w:pPr>
    </w:p>
    <w:p>
      <w:pPr>
        <w:spacing w:after="80"/>
      </w:pPr>
      <w:r>
        <w:t xml:space="preserve"/>
      </w:r>
    </w:p>
    <w:p>
      <w:pPr>
        <w:pStyle w:val="Normal"/>
      </w:pPr>
      <w:r>
        <w:rPr>
          <w:rFonts w:ascii="Arial" w:cs="Arial" w:eastAsia="Arial" w:hAnsi="Arial"/>
        </w:rPr>
        <w:t xml:space="preserve">Last Modified: September 2025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Overview</w:t>
      </w:r>
    </w:p>
    <w:p>
      <w:pPr>
        <w:pStyle w:val="Normal"/>
      </w:pPr>
      <w:r>
        <w:rPr>
          <w:rFonts w:ascii="Arial" w:cs="Arial" w:eastAsia="Arial" w:hAnsi="Arial"/>
        </w:rPr>
        <w:t xml:space="preserve">Wallets in the Synergy Network are essential for managing digital assets, signing transactions, and interacting with the blockchain. This guide covers wallet creation, management, and secure usage practices.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Wallet Types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00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Software Wallets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Generated and stored locally; full control over private keys; requires secure backup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Hardware Wallets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Physical devices for key storage; enhanced security; recommended for large amounts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Watch-Only Wallets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Monitor balances without spending ability; useful for exchanges and services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Creating a Wallet</w:t>
      </w:r>
    </w:p>
    <w:p>
      <w:pPr>
        <w:pStyle w:val="Heading2"/>
      </w:pPr>
      <w:r>
        <w:rPr>
          <w:rFonts w:ascii="Arial" w:cs="Arial" w:eastAsia="Arial" w:hAnsi="Arial"/>
        </w:rPr>
        <w:t xml:space="preserve">Method 1: Generate New Wallet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{
  "jsonrpc": "2.0",
  "method": "synergy_createWallet",
  "params": [],
  "id": 1
}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Method 2: Import from Keypair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{
  "jsonrpc": "2.0",
  "method": "synergy_createWalletFromKeypair",
  "params": ["public_key_hex", "private_key_hex"],
  "id": 1
}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Address Format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Synergy Network uses Bech32m addresses with the "sYn" prefix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Format: sYn + 38 character hash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Example: sYn1q2w3e4r5t6y7u8i9o0p1a2s3d4f5g6h7j8k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Wallet Operations</w:t>
      </w:r>
    </w:p>
    <w:p>
      <w:pPr>
        <w:pStyle w:val="Heading2"/>
      </w:pPr>
      <w:r>
        <w:rPr>
          <w:rFonts w:ascii="Arial" w:cs="Arial" w:eastAsia="Arial" w:hAnsi="Arial"/>
        </w:rPr>
        <w:t xml:space="preserve">Checking Wallet Information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{
  "jsonrpc": "2.0",
  "method": "synergy_getWallet",
  "params": ["sYn1q2w3e4r5t6y7u8i9o0p"],
  "id": 1
}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Listing All Wallets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{
  "jsonrpc": "2.0",
  "method": "synergy_getAllWallets",
  "params": [],
  "id": 1
}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Transaction Signing</w:t>
      </w:r>
    </w:p>
    <w:p>
      <w:pPr>
        <w:pStyle w:val="Heading2"/>
      </w:pPr>
      <w:r>
        <w:rPr>
          <w:rFonts w:ascii="Arial" w:cs="Arial" w:eastAsia="Arial" w:hAnsi="Arial"/>
        </w:rPr>
        <w:t xml:space="preserve">Manual Transaction Signing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{
  "jsonrpc": "2.0",
  "method": "synergy_signTransaction",
  "params": ["sYn...", {
    "sender": "sYn...",
    "receiver": "sYn...",
    "amount": 1000,
    "nonce": 5,
    "gas_price": 1000,
    "gas_limit": 21000
  }],
  "id": 1
}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Automated Token Sending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{
  "jsonrpc": "2.0",
  "method": "synergy_sendTokens",
  "params": ["sYn...", "sYn...", "SNRG", 1000],
  "id": 1
}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Security Best Practices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Private Key Security:</w:t>
      </w:r>
      <w:r>
        <w:rPr>
          <w:rFonts w:ascii="Arial" w:cs="Arial" w:eastAsia="Arial" w:hAnsi="Arial"/>
          <w:sz w:val="22"/>
          <w:szCs w:val="22"/>
        </w:rPr>
        <w:t xml:space="preserve"> Never share keys; use encrypted or hardware storage; keep secure backups offline.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Transaction Security:</w:t>
      </w:r>
      <w:r>
        <w:rPr>
          <w:rFonts w:ascii="Arial" w:cs="Arial" w:eastAsia="Arial" w:hAnsi="Arial"/>
          <w:sz w:val="22"/>
          <w:szCs w:val="22"/>
        </w:rPr>
        <w:t xml:space="preserve"> Verify recipient addresses and amounts; understand gas costs; wait for confirmation.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Integration Examples</w:t>
      </w:r>
    </w:p>
    <w:p>
      <w:pPr>
        <w:pStyle w:val="Heading2"/>
      </w:pPr>
      <w:r>
        <w:rPr>
          <w:rFonts w:ascii="Arial" w:cs="Arial" w:eastAsia="Arial" w:hAnsi="Arial"/>
        </w:rPr>
        <w:t xml:space="preserve">JavaScript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const axios = require('axios');
async function createWallet() {
  const response = await axios.post('http://localhost:8545', {
    jsonrpc: '2.0', method: 'synergy_createWallet', params: [], id: 1
  });
  return response.data.result;
}
async function sendTokens(from, to, amount) {
  const response = await axios.post('http://localhost:8545', {
    jsonrpc: '2.0', method: 'synergy_sendTokens',
    params: [from, to, 'SNRG', amount], id: 1
  });
  return response.data.result;
}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Python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import requests
def create_wallet():
    payload = {"jsonrpc":"2.0","method":"synergy_createWallet","params":[],"id":1}
    response = requests.post('http://localhost:8545', json=payload)
    return response.json()['result']
def get_balance(address):
    payload = {"jsonrpc":"2.0","method":"synergy_getAllBalances","params":[address],"id":1}
    response = requests.post('http://localhost:8545', json=payload)
    return response.json()['result']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Troubleshooting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5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"Wallet not found"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address format, check network connectivity, ensure wallet was created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"Insufficient funds"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 token balances, verify token symbols, consider gas fees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"Signature failed"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private key, check transaction format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"Network error"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 node connectivity and RPC server status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  <w:jc w:val="right"/>
    </w:pPr>
    <w:r>
      <w:rPr>
        <w:rFonts w:ascii="Arial" w:cs="Arial" w:eastAsia="Arial" w:hAnsi="Arial"/>
        <w:color w:val="4A5568"/>
        <w:sz w:val="16"/>
        <w:szCs w:val="16"/>
      </w:rPr>
      <w:t xml:space="preserve">© 2025 Synergy Network. Confidential.</w:t>
    </w:r>
    <w:r>
      <w:rPr>
        <w:rFonts w:ascii="Arial" w:cs="Arial" w:eastAsia="Arial" w:hAnsi="Arial"/>
        <w:color w:val="4A5568"/>
        <w:sz w:val="16"/>
        <w:szCs w:val="16"/>
      </w:rPr>
      <w:t xml:space="preserve">    Page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5568"/>
        <w:sz w:val="16"/>
        <w:szCs w:val="16"/>
      </w:rPr>
      <w:t xml:space="preserve"> of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0FF" w:sz="4" w:space="4"/>
      </w:pBdr>
      <w:spacing w:after="80"/>
    </w:pPr>
    <w:r>
      <w:rPr>
        <w:rFonts w:ascii="Arial" w:cs="Arial" w:eastAsia="Arial" w:hAnsi="Arial"/>
        <w:b/>
        <w:bCs/>
        <w:color w:val="0060FF"/>
        <w:sz w:val="16"/>
        <w:szCs w:val="16"/>
      </w:rPr>
      <w:t xml:space="preserve">SYNERGY NETWORK</w:t>
    </w:r>
    <w:r>
      <w:rPr>
        <w:rFonts w:ascii="Arial" w:cs="Arial" w:eastAsia="Arial" w:hAnsi="Arial"/>
        <w:color w:val="4A5568"/>
        <w:sz w:val="16"/>
        <w:szCs w:val="16"/>
      </w:rPr>
      <w:t xml:space="preserve">    Wallet Usage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100"/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spacing w:after="80"/>
        <w:ind w:left="108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120"/>
        <w:ind w:left="720" w:hanging="360"/>
      </w:pPr>
      <w:rPr>
        <w:rFonts w:ascii="Arial" w:cs="Arial" w:eastAsia="Arial" w:hAnsi="Arial"/>
        <w:b/>
        <w:bCs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60FF" w:sz="6" w:space="6"/>
      </w:pBdr>
      <w:spacing w:before="480" w:after="160"/>
      <w:outlineLvl w:val="0"/>
    </w:pPr>
    <w:rPr>
      <w:rFonts w:ascii="Arial" w:cs="Arial" w:eastAsia="Arial" w:hAnsi="Arial"/>
      <w:b/>
      <w:bCs/>
      <w:color w:val="0A0F2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Arial" w:cs="Arial" w:eastAsia="Arial" w:hAnsi="Arial"/>
      <w:b/>
      <w:bCs/>
      <w:color w:val="0A0F2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0060FF"/>
      <w:sz w:val="24"/>
      <w:szCs w:val="24"/>
    </w:rPr>
  </w:style>
  <w:style w:type="paragraph" w:styleId="Normal">
    <w:name w:val="Normal"/>
    <w:qFormat/>
    <w:pPr>
      <w:spacing w:after="160" w:line="276" w:lineRule="auto"/>
    </w:pPr>
    <w:rPr>
      <w:rFonts w:ascii="Arial" w:cs="Arial" w:eastAsia="Arial" w:hAnsi="Arial"/>
      <w:color w:val="1A1A2E"/>
      <w:sz w:val="22"/>
      <w:szCs w:val="22"/>
    </w:rPr>
  </w:style>
  <w:style w:type="paragraph" w:styleId="BlockQuote">
    <w:name w:val="Block Quote"/>
    <w:basedOn w:val="Normal"/>
    <w:pPr>
      <w:pBdr>
        <w:left w:val="single" w:color="0060FF" w:sz="12" w:space="12"/>
      </w:pBdr>
      <w:spacing w:after="160" w:line="276"/>
      <w:ind w:left="720" w:right="360"/>
    </w:pPr>
    <w:rPr>
      <w:rFonts w:ascii="Arial" w:cs="Arial" w:eastAsia="Arial" w:hAnsi="Arial"/>
      <w:i/>
      <w:iCs/>
      <w:color w:val="4A55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2026-03-13T19:20:55.713Z</dcterms:created>
  <dcterms:modified xsi:type="dcterms:W3CDTF">2026-03-13T19:20:55.713Z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