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AI-AIVM-Spec — 00: ToC &amp; Intro</w:t>
      </w:r>
    </w:p>
    <w:p>
      <w:pPr>
        <w:jc w:val="center"/>
      </w:pPr>
      <w:r>
        <w:t>Version: v0.1-draft</w:t>
      </w:r>
    </w:p>
    <w:p>
      <w:pPr>
        <w:jc w:val="center"/>
      </w:pPr>
      <w:r>
        <w:t>Date: 2025-10-14</w:t>
      </w:r>
    </w:p>
    <w:p>
      <w:pPr>
        <w:jc w:val="center"/>
      </w:pPr>
      <w:r>
        <w:t>Author: Justin Hutzler</w:t>
      </w:r>
    </w:p>
    <w:p/>
    <w:p>
      <w:pPr>
        <w:pStyle w:val="Heading1"/>
      </w:pPr>
      <w:r>
        <w:t>I. Purpose &amp; Scope</w:t>
      </w:r>
    </w:p>
    <w:p>
      <w:pPr>
        <w:pStyle w:val="Heading2"/>
      </w:pPr>
      <w:r>
        <w:t>0‑A) Role in Synergy (advisory‑only for consensus/interop)</w:t>
      </w:r>
    </w:p>
    <w:p>
      <w:pPr>
        <w:pStyle w:val="Heading2"/>
      </w:pPr>
      <w:r>
        <w:t>0‑B) Safety &amp; Invariant Requirements</w:t>
      </w:r>
    </w:p>
    <w:p>
      <w:pPr>
        <w:pStyle w:val="Heading1"/>
      </w:pPr>
      <w:r>
        <w:t>II. Architecture Overview</w:t>
      </w:r>
    </w:p>
    <w:p>
      <w:pPr>
        <w:pStyle w:val="Heading2"/>
      </w:pPr>
      <w:r>
        <w:t>1) Neural Execution Core</w:t>
      </w:r>
    </w:p>
    <w:p>
      <w:pPr>
        <w:pStyle w:val="Heading2"/>
      </w:pPr>
      <w:r>
        <w:t>2) Security Cognition Engine (SCE)</w:t>
      </w:r>
    </w:p>
    <w:p>
      <w:pPr>
        <w:pStyle w:val="Heading2"/>
      </w:pPr>
      <w:r>
        <w:t>3) Policy &amp; Invariants Layer</w:t>
      </w:r>
    </w:p>
    <w:p>
      <w:pPr>
        <w:pStyle w:val="Heading2"/>
      </w:pPr>
      <w:r>
        <w:t>4) Data Plane &amp; Feature Sources (mempools, fees, congestion, latency)</w:t>
      </w:r>
    </w:p>
    <w:p>
      <w:pPr>
        <w:pStyle w:val="Heading2"/>
      </w:pPr>
      <w:r>
        <w:t>5) Control Surfaces (advisories, not actions)</w:t>
      </w:r>
    </w:p>
    <w:p>
      <w:pPr>
        <w:pStyle w:val="Heading1"/>
      </w:pPr>
      <w:r>
        <w:t>III. Model Governance &amp; MLOps</w:t>
      </w:r>
    </w:p>
    <w:p>
      <w:pPr>
        <w:pStyle w:val="Heading2"/>
      </w:pPr>
      <w:r>
        <w:t>6) Dataset Governance, Lineage, and Privacy</w:t>
      </w:r>
    </w:p>
    <w:p>
      <w:pPr>
        <w:pStyle w:val="Heading2"/>
      </w:pPr>
      <w:r>
        <w:t>7) Training/Validation/Drift Monitoring</w:t>
      </w:r>
    </w:p>
    <w:p>
      <w:pPr>
        <w:pStyle w:val="Heading2"/>
      </w:pPr>
      <w:r>
        <w:t>8) Canary Releases &amp; Governance Gates</w:t>
      </w:r>
    </w:p>
    <w:p>
      <w:pPr>
        <w:pStyle w:val="Heading2"/>
      </w:pPr>
      <w:r>
        <w:t>9) Reproducibility &amp; Deterministic Replay (seeded evaluations)</w:t>
      </w:r>
    </w:p>
    <w:p>
      <w:pPr>
        <w:pStyle w:val="Heading1"/>
      </w:pPr>
      <w:r>
        <w:t>IV. Integrations</w:t>
      </w:r>
    </w:p>
    <w:p>
      <w:pPr>
        <w:pStyle w:val="Heading2"/>
      </w:pPr>
      <w:r>
        <w:t>10) PoSy hooks (proposal ranking, timeout hints; floors enforced)</w:t>
      </w:r>
    </w:p>
    <w:p>
      <w:pPr>
        <w:pStyle w:val="Heading2"/>
      </w:pPr>
      <w:r>
        <w:t>11) S‑XSig hooks (route/fee estimates; never change t or windows)</w:t>
      </w:r>
    </w:p>
    <w:p>
      <w:pPr>
        <w:pStyle w:val="Heading2"/>
      </w:pPr>
      <w:r>
        <w:t>12) Wallet UX hooks (ETA, confidence, suggested fee bump)</w:t>
      </w:r>
    </w:p>
    <w:p>
      <w:pPr>
        <w:pStyle w:val="Heading1"/>
      </w:pPr>
      <w:r>
        <w:t>V. Security &amp; Abuse Resistance</w:t>
      </w:r>
    </w:p>
    <w:p>
      <w:pPr>
        <w:pStyle w:val="Heading2"/>
      </w:pPr>
      <w:r>
        <w:t>13) Adversarial ML Threats (poisoning, evasion, model extraction)</w:t>
      </w:r>
    </w:p>
    <w:p>
      <w:pPr>
        <w:pStyle w:val="Heading2"/>
      </w:pPr>
      <w:r>
        <w:t>14) Guardrails &amp; Human‑in‑the‑Loop</w:t>
      </w:r>
    </w:p>
    <w:p>
      <w:pPr>
        <w:pStyle w:val="Heading2"/>
      </w:pPr>
      <w:r>
        <w:t>15) Telemetry Integrity &amp; Rate Limits</w:t>
      </w:r>
    </w:p>
    <w:p>
      <w:pPr>
        <w:pStyle w:val="Heading2"/>
      </w:pPr>
      <w:r>
        <w:t>16) PQC for Model Artifact Signatures &amp; Provenance</w:t>
      </w:r>
    </w:p>
    <w:p>
      <w:pPr>
        <w:pStyle w:val="Heading1"/>
      </w:pPr>
      <w:r>
        <w:t>VI. APIs &amp; Schemas</w:t>
      </w:r>
    </w:p>
    <w:p>
      <w:pPr>
        <w:pStyle w:val="Heading2"/>
      </w:pPr>
      <w:r>
        <w:t>17) Advisory API (request/response schema)</w:t>
      </w:r>
    </w:p>
    <w:p>
      <w:pPr>
        <w:pStyle w:val="Heading2"/>
      </w:pPr>
      <w:r>
        <w:t>18) Invariant Contracts and Verification</w:t>
      </w:r>
    </w:p>
    <w:p>
      <w:pPr>
        <w:pStyle w:val="Heading2"/>
      </w:pPr>
      <w:r>
        <w:t>19) Telemetry Format &amp; Persistence</w:t>
      </w:r>
    </w:p>
    <w:p>
      <w:pPr>
        <w:pStyle w:val="Heading1"/>
      </w:pPr>
      <w:r>
        <w:t>VII. Testing &amp; Evaluation</w:t>
      </w:r>
    </w:p>
    <w:p>
      <w:pPr>
        <w:pStyle w:val="Heading2"/>
      </w:pPr>
      <w:r>
        <w:t>20) Offline Benchmarks</w:t>
      </w:r>
    </w:p>
    <w:p>
      <w:pPr>
        <w:pStyle w:val="Heading2"/>
      </w:pPr>
      <w:r>
        <w:t>21) Online Shadow Mode</w:t>
      </w:r>
    </w:p>
    <w:p>
      <w:pPr>
        <w:pStyle w:val="Heading2"/>
      </w:pPr>
      <w:r>
        <w:t>22) Canary Metrics &amp; Roll‑back Criteria</w:t>
      </w:r>
    </w:p>
    <w:p>
      <w:pPr>
        <w:pStyle w:val="Heading1"/>
      </w:pPr>
      <w:r>
        <w:t>VIII. Operations</w:t>
      </w:r>
    </w:p>
    <w:p>
      <w:pPr>
        <w:pStyle w:val="Heading2"/>
      </w:pPr>
      <w:r>
        <w:t>23) Monitoring, Alerting, SLOs</w:t>
      </w:r>
    </w:p>
    <w:p>
      <w:pPr>
        <w:pStyle w:val="Heading2"/>
      </w:pPr>
      <w:r>
        <w:t>24) Incident Response</w:t>
      </w:r>
    </w:p>
    <w:p>
      <w:pPr>
        <w:pStyle w:val="Heading2"/>
      </w:pPr>
      <w:r>
        <w:t>25) Upgrade Playbooks</w:t>
      </w:r>
    </w:p>
    <w:p>
      <w:pPr>
        <w:pStyle w:val="Heading1"/>
      </w:pPr>
      <w:r>
        <w:t>Appendices</w:t>
      </w:r>
    </w:p>
    <w:p>
      <w:pPr>
        <w:pStyle w:val="Heading1"/>
      </w:pPr>
      <w:r>
        <w:t>A) Glossary</w:t>
      </w:r>
    </w:p>
    <w:p>
      <w:pPr>
        <w:pStyle w:val="Heading1"/>
      </w:pPr>
      <w:r>
        <w:t>B) Threat Matrices</w:t>
      </w:r>
    </w:p>
    <w:p>
      <w:pPr>
        <w:pStyle w:val="Heading1"/>
      </w:pPr>
      <w:r>
        <w:t>C) Evaluation Datasets</w:t>
      </w:r>
    </w:p>
    <w:p>
      <w:pPr>
        <w:pStyle w:val="Heading1"/>
      </w:pPr>
      <w:r>
        <w:t>D) Example Advisory Traces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