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II. Architecture Overview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II. Architecture Overview</w:t>
      </w:r>
    </w:p>
    <w:p>
      <w:pPr>
        <w:pStyle w:val="Heading2"/>
      </w:pPr>
      <w:r>
        <w:t>Neural Execution Core</w:t>
      </w:r>
    </w:p>
    <w:p>
      <w:pPr>
        <w:pStyle w:val="Heading2"/>
      </w:pPr>
      <w:r>
        <w:t>Security Cognition Engine</w:t>
      </w:r>
    </w:p>
    <w:p>
      <w:pPr>
        <w:pStyle w:val="Heading2"/>
      </w:pPr>
      <w:r>
        <w:t>Policy &amp; Invariants</w:t>
      </w:r>
    </w:p>
    <w:p>
      <w:pPr>
        <w:pStyle w:val="Heading2"/>
      </w:pPr>
      <w:r>
        <w:t>Data Plane &amp; Features</w:t>
      </w:r>
    </w:p>
    <w:p>
      <w:pPr>
        <w:pStyle w:val="Heading2"/>
      </w:pPr>
      <w:r>
        <w:t>Control Surfaces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