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V. Security &amp; Abuse Resistance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V. Security &amp; Abuse Resistance</w:t>
      </w:r>
    </w:p>
    <w:p>
      <w:pPr>
        <w:pStyle w:val="Heading2"/>
      </w:pPr>
      <w:r>
        <w:t>Adversarial ML Threats</w:t>
      </w:r>
    </w:p>
    <w:p>
      <w:pPr>
        <w:pStyle w:val="Heading2"/>
      </w:pPr>
      <w:r>
        <w:t>Guardrails &amp; HIL</w:t>
      </w:r>
    </w:p>
    <w:p>
      <w:pPr>
        <w:pStyle w:val="Heading2"/>
      </w:pPr>
      <w:r>
        <w:t>Telemetry Integrity</w:t>
      </w:r>
    </w:p>
    <w:p>
      <w:pPr>
        <w:pStyle w:val="Heading2"/>
      </w:pPr>
      <w:r>
        <w:t>PQC for Artifacts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