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ecurity-properties"/>
    <w:p>
      <w:pPr>
        <w:pStyle w:val="Heading1"/>
      </w:pPr>
      <w:r>
        <w:t xml:space="preserve">4. Security Properties</w:t>
      </w:r>
    </w:p>
    <w:p>
      <w:pPr>
        <w:pStyle w:val="FirstParagraph"/>
      </w:pPr>
      <w:r>
        <w:t xml:space="preserve">This section formalises the safety and liveness guarantees provided by the Proof‑of‑Synergy protocol. The analysis applies both to the core BFT plane and to the asynchronous interoperability plane. We outline the assumptions under which safety and liveness hold, discuss adaptive adversaries and network delays, extend security to cross‑chain payload integrity, and explain why the use of Aegis post‑quantum cryptography (PQC) enhances forward security. Proof sketches are provided at a high level; rigorous formal verification using TLA+/PlusCal models is referenced in §14 and Appendix B.</w:t>
      </w:r>
    </w:p>
    <w:bookmarkStart w:id="23" w:name="safety-guarantees"/>
    <w:p>
      <w:pPr>
        <w:pStyle w:val="Heading2"/>
      </w:pPr>
      <w:r>
        <w:t xml:space="preserve">4.1 Safety Guarantees</w:t>
      </w:r>
    </w:p>
    <w:bookmarkStart w:id="20" w:name="weighted-quorum-safety"/>
    <w:p>
      <w:pPr>
        <w:pStyle w:val="Heading3"/>
      </w:pPr>
      <w:r>
        <w:t xml:space="preserve">Weighted Quorum Safety</w:t>
      </w:r>
    </w:p>
    <w:p>
      <w:pPr>
        <w:pStyle w:val="FirstParagraph"/>
      </w:pPr>
      <w:r>
        <w:t xml:space="preserve">PoSy uses</w:t>
      </w:r>
      <w:r>
        <w:t xml:space="preserve"> </w:t>
      </w:r>
      <w:r>
        <w:rPr>
          <w:bCs/>
          <w:b/>
        </w:rPr>
        <w:t xml:space="preserve">weighted quorums</w:t>
      </w:r>
      <w:r>
        <w:t xml:space="preserve"> </w:t>
      </w:r>
      <w:r>
        <w:t xml:space="preserve">rather than counting validators. Let (</w:t>
      </w:r>
      <w:r>
        <w:t xml:space="preserve">) denote the active consensus validators, each with weight (W_i). Define the total weight (W =</w:t>
      </w:r>
      <w:r>
        <w:t xml:space="preserve"> </w:t>
      </w:r>
      <w:r>
        <w:t xml:space="preserve">_{i</w:t>
      </w:r>
      <w:r>
        <w:t xml:space="preserve"> </w:t>
      </w:r>
      <w:r>
        <w:t xml:space="preserve">} W_i). A</w:t>
      </w:r>
      <w:r>
        <w:t xml:space="preserve"> </w:t>
      </w:r>
      <w:r>
        <w:rPr>
          <w:bCs/>
          <w:b/>
        </w:rPr>
        <w:t xml:space="preserve">quorum certificate (QC)</w:t>
      </w:r>
      <w:r>
        <w:t xml:space="preserve"> </w:t>
      </w:r>
      <w:r>
        <w:t xml:space="preserve">for a block at height (h) is a set of validator signatures whose cumulative weight is at least (2/3,W). Safety is guaranteed if the fraction of Byzantine weight is at most one third:</w:t>
      </w:r>
    </w:p>
    <w:p>
      <w:pPr>
        <w:pStyle w:val="BlockText"/>
      </w:pPr>
      <w:r>
        <w:rPr>
          <w:bCs/>
          <w:b/>
        </w:rPr>
        <w:t xml:space="preserve">Theorem 4.1 (Safety).</w:t>
      </w:r>
      <w:r>
        <w:t xml:space="preserve"> </w:t>
      </w:r>
      <w:r>
        <w:t xml:space="preserve">Suppose the total weight of Byzantine validators is less than (W/3). Then two conflicting blocks (i.e., blocks that are not in an ancestor–descendant relation) at the same height cannot both obtain valid QCs. Consequently, honest validators will never decide on conflicting blocks.</w:t>
      </w:r>
    </w:p>
    <w:p>
      <w:pPr>
        <w:pStyle w:val="FirstParagraph"/>
      </w:pPr>
      <w:r>
        <w:rPr>
          <w:iCs/>
          <w:i/>
        </w:rPr>
        <w:t xml:space="preserve">Proof sketch.</w:t>
      </w:r>
      <w:r>
        <w:t xml:space="preserve"> </w:t>
      </w:r>
      <w:r>
        <w:t xml:space="preserve">Assume two conflicting blocks (B) and (B’) both have valid QCs. Since the QCs each require weight &gt; (2/3,W), their intersection contains weight &gt; (1/3,W). But the Byzantine weight is &lt; (W/3), so the intersection must include at least one honest validator. An honest validator never signs conflicting blocks, so such an intersection cannot exist. QED.</w:t>
      </w:r>
    </w:p>
    <w:p>
      <w:pPr>
        <w:pStyle w:val="BodyText"/>
      </w:pPr>
      <w:r>
        <w:t xml:space="preserve">The use of weighted quorums extends classical BFT safety results to heterogeneous validator weights. Note that the bound is tight: if the Byzantine weight is (</w:t>
      </w:r>
      <w:r>
        <w:t xml:space="preserve">W/3), an adversary could control enough weight to create conflicting QCs. Additional safety properties (e.g., optimistic responsiveness) are formalised in §7 when defining quorum certificates and in §10 when discussing timeouts.</w:t>
      </w:r>
    </w:p>
    <w:bookmarkEnd w:id="20"/>
    <w:bookmarkStart w:id="21" w:name="commitrule-safety"/>
    <w:p>
      <w:pPr>
        <w:pStyle w:val="Heading3"/>
      </w:pPr>
      <w:r>
        <w:t xml:space="preserve">Commit–Rule Safety</w:t>
      </w:r>
    </w:p>
    <w:p>
      <w:pPr>
        <w:pStyle w:val="FirstParagraph"/>
      </w:pPr>
      <w:r>
        <w:t xml:space="preserve">PoSy extends HotStuff’s</w:t>
      </w:r>
      <w:r>
        <w:t xml:space="preserve"> </w:t>
      </w:r>
      <w:r>
        <w:rPr>
          <w:bCs/>
          <w:b/>
        </w:rPr>
        <w:t xml:space="preserve">three‑phase commit rule</w:t>
      </w:r>
      <w:r>
        <w:t xml:space="preserve"> </w:t>
      </w:r>
      <w:r>
        <w:t xml:space="preserve">to weighted quorums. A block is committed when a</w:t>
      </w:r>
      <w:r>
        <w:t xml:space="preserve"> </w:t>
      </w:r>
      <w:r>
        <w:rPr>
          <w:bCs/>
          <w:b/>
        </w:rPr>
        <w:t xml:space="preserve">PREPARE QC</w:t>
      </w:r>
      <w:r>
        <w:t xml:space="preserve"> </w:t>
      </w:r>
      <w:r>
        <w:t xml:space="preserve">exists for its parent and a</w:t>
      </w:r>
      <w:r>
        <w:t xml:space="preserve"> </w:t>
      </w:r>
      <w:r>
        <w:rPr>
          <w:bCs/>
          <w:b/>
        </w:rPr>
        <w:t xml:space="preserve">COMMIT QC</w:t>
      </w:r>
      <w:r>
        <w:t xml:space="preserve"> </w:t>
      </w:r>
      <w:r>
        <w:t xml:space="preserve">exists for itself. Because QCs overlap in at least one honest validator (as above), blocks committed under this rule form a single chain. This ensures that once a block is committed, no conflicting block can later be committed, even under adaptive adversary actions or network partitions.</w:t>
      </w:r>
    </w:p>
    <w:bookmarkEnd w:id="21"/>
    <w:bookmarkStart w:id="22" w:name="sxcp-payload-integrity"/>
    <w:p>
      <w:pPr>
        <w:pStyle w:val="Heading3"/>
      </w:pPr>
      <w:r>
        <w:t xml:space="preserve">SXCP Payload Integrity</w:t>
      </w:r>
    </w:p>
    <w:p>
      <w:pPr>
        <w:pStyle w:val="FirstParagraph"/>
      </w:pPr>
      <w:r>
        <w:t xml:space="preserve">In addition to consensus safety, PoSy ensures</w:t>
      </w:r>
      <w:r>
        <w:t xml:space="preserve"> </w:t>
      </w:r>
      <w:r>
        <w:rPr>
          <w:bCs/>
          <w:b/>
        </w:rPr>
        <w:t xml:space="preserve">cross‑chain payload integrity</w:t>
      </w:r>
      <w:r>
        <w:t xml:space="preserve">. SXCP messages include Merkle proofs of external events and are signed by a threshold of relayers. Before inclusion in a block, consensus validators verify that:</w:t>
      </w:r>
    </w:p>
    <w:p>
      <w:pPr>
        <w:numPr>
          <w:ilvl w:val="0"/>
          <w:numId w:val="1001"/>
        </w:numPr>
        <w:pStyle w:val="Compact"/>
      </w:pPr>
      <w:r>
        <w:t xml:space="preserve">The relayer threshold signature is valid with respect to the registered relayer public keys and threshold (t).</w:t>
      </w:r>
    </w:p>
    <w:p>
      <w:pPr>
        <w:numPr>
          <w:ilvl w:val="0"/>
          <w:numId w:val="1001"/>
        </w:numPr>
        <w:pStyle w:val="Compact"/>
      </w:pPr>
      <w:r>
        <w:t xml:space="preserve">The included proofs correspond to unique external events (e.g., transaction IDs) that have not been replayed.</w:t>
      </w:r>
    </w:p>
    <w:p>
      <w:pPr>
        <w:numPr>
          <w:ilvl w:val="0"/>
          <w:numId w:val="1001"/>
        </w:numPr>
        <w:pStyle w:val="Compact"/>
      </w:pPr>
      <w:r>
        <w:t xml:space="preserve">The finality time (τ_i) and reorg depth (ρ_i) of the external chain have been observed (i.e., the event is considered final).</w:t>
      </w:r>
    </w:p>
    <w:p>
      <w:pPr>
        <w:pStyle w:val="FirstParagraph"/>
      </w:pPr>
      <w:r>
        <w:t xml:space="preserve">These checks prevent replay of cross‑chain messages and ensure that only finalised external events influence Synergy state. Because SXCP signatures are aggregated using Aegis, an adversary cannot forge cross‑chain proofs without compromising (t) relayers. Evidence of any forged or contradictory proof triggers slashing of the associated relayers (§9).</w:t>
      </w:r>
    </w:p>
    <w:bookmarkEnd w:id="22"/>
    <w:bookmarkEnd w:id="23"/>
    <w:bookmarkStart w:id="27" w:name="liveness-guarantees"/>
    <w:p>
      <w:pPr>
        <w:pStyle w:val="Heading2"/>
      </w:pPr>
      <w:r>
        <w:t xml:space="preserve">4.2 Liveness Guarantees</w:t>
      </w:r>
    </w:p>
    <w:bookmarkStart w:id="24" w:name="partialsynchrony-liveness"/>
    <w:p>
      <w:pPr>
        <w:pStyle w:val="Heading3"/>
      </w:pPr>
      <w:r>
        <w:t xml:space="preserve">Partial‑Synchrony Liveness</w:t>
      </w:r>
    </w:p>
    <w:p>
      <w:pPr>
        <w:pStyle w:val="FirstParagraph"/>
      </w:pPr>
      <w:r>
        <w:t xml:space="preserve">PoSy guarantees liveness once the network has stabilised (after GST) and the weight of Byzantine validators does not exceed (W/3). Under these conditions:</w:t>
      </w:r>
    </w:p>
    <w:p>
      <w:pPr>
        <w:pStyle w:val="BlockText"/>
      </w:pPr>
      <w:r>
        <w:rPr>
          <w:bCs/>
          <w:b/>
        </w:rPr>
        <w:t xml:space="preserve">Theorem 4.2 (Liveness).</w:t>
      </w:r>
      <w:r>
        <w:t xml:space="preserve"> </w:t>
      </w:r>
      <w:r>
        <w:t xml:space="preserve">Assume partial synchrony (Δ and δ are finite) and an adaptive adversary controlling less than one third of the total weight. Then PoSy continuously finalises blocks: eventually, every proposal by an honest leader will be committed within a bounded number of rounds.</w:t>
      </w:r>
    </w:p>
    <w:p>
      <w:pPr>
        <w:pStyle w:val="FirstParagraph"/>
      </w:pPr>
      <w:r>
        <w:rPr>
          <w:iCs/>
          <w:i/>
        </w:rPr>
        <w:t xml:space="preserve">Proof sketch.</w:t>
      </w:r>
      <w:r>
        <w:t xml:space="preserve"> </w:t>
      </w:r>
      <w:r>
        <w:t xml:space="preserve">After GST, messages between honest validators are delivered within Δ. Timeouts start at a base value (T_0) and increase exponentially via backoff factor (φ). There exists a round with a timeout longer than any adversarial delay. In that round, an honest leader will eventually propose a block, and a quorum of honest committee members (whose weight &gt; 2/3) will vote before the timeout triggers. Because adversarial validators cannot produce conflicting QCs, the chain progresses. This argument continues indefinitely, ensuring infinite liveness. QED.</w:t>
      </w:r>
    </w:p>
    <w:bookmarkEnd w:id="24"/>
    <w:bookmarkStart w:id="25" w:name="handling-view-changes"/>
    <w:p>
      <w:pPr>
        <w:pStyle w:val="Heading3"/>
      </w:pPr>
      <w:r>
        <w:t xml:space="preserve">Handling View Changes</w:t>
      </w:r>
    </w:p>
    <w:p>
      <w:pPr>
        <w:pStyle w:val="FirstParagraph"/>
      </w:pPr>
      <w:r>
        <w:t xml:space="preserve">Liveness under partial synchrony relies on</w:t>
      </w:r>
      <w:r>
        <w:t xml:space="preserve"> </w:t>
      </w:r>
      <w:r>
        <w:rPr>
          <w:iCs/>
          <w:i/>
        </w:rPr>
        <w:t xml:space="preserve">view changes</w:t>
      </w:r>
      <w:r>
        <w:t xml:space="preserve"> </w:t>
      </w:r>
      <w:r>
        <w:t xml:space="preserve">to recover from faulty leaders or network delays. If a timeout expires without reaching a quorum, validators broadcast TIMEOUT messages containing the highest QC seen. The next leader aggregates these TIMEOUT certificates and proposes a new block. The timeout is multiplied by (φ) to accommodate longer delays. Because the VRF‑based leader selection is unpredictable and adaptively corrupting a leader requires unbonding delay, the adversary cannot continuously cause failed rounds. Detailed view‑change procedures and invariants are specified in §10.</w:t>
      </w:r>
    </w:p>
    <w:bookmarkEnd w:id="25"/>
    <w:bookmarkStart w:id="26" w:name="sxcp-asynchronous-liveness"/>
    <w:p>
      <w:pPr>
        <w:pStyle w:val="Heading3"/>
      </w:pPr>
      <w:r>
        <w:t xml:space="preserve">SXCP Asynchronous Liveness</w:t>
      </w:r>
    </w:p>
    <w:p>
      <w:pPr>
        <w:pStyle w:val="FirstParagraph"/>
      </w:pPr>
      <w:r>
        <w:t xml:space="preserve">SXCP relayers operate on an asynchronous plane. They do not participate in consensus rounds and thus cannot block consensus liveness. Cross‑chain proofs and epoch randomness beacons are generated independently of the consensus timeout schedule. Even if external chain finality is slow or relayers are momentarily unavailable, consensus continues using the last known randomness beacon and simply delays inclusion of cross‑chain events until they become available. However, failure by relayers to produce required signatures within governance‑defined windows leads to slashing and replacement (§9, §24).</w:t>
      </w:r>
    </w:p>
    <w:bookmarkEnd w:id="26"/>
    <w:bookmarkEnd w:id="27"/>
    <w:bookmarkStart w:id="28" w:name="X543618c2060cbc92d54baba6c79ab8153250290"/>
    <w:p>
      <w:pPr>
        <w:pStyle w:val="Heading2"/>
      </w:pPr>
      <w:r>
        <w:t xml:space="preserve">4.3 Adaptive Adversary and Network Delay Assumptions</w:t>
      </w:r>
    </w:p>
    <w:p>
      <w:pPr>
        <w:pStyle w:val="FirstParagraph"/>
      </w:pPr>
      <w:r>
        <w:rPr>
          <w:bCs/>
          <w:b/>
        </w:rPr>
        <w:t xml:space="preserve">Adaptive adversaries</w:t>
      </w:r>
      <w:r>
        <w:t xml:space="preserve"> </w:t>
      </w:r>
      <w:r>
        <w:t xml:space="preserve">pose a significant challenge: they may observe protocol messages and selectively corrupt validators. PoSy addresses this by:</w:t>
      </w:r>
    </w:p>
    <w:p>
      <w:pPr>
        <w:numPr>
          <w:ilvl w:val="0"/>
          <w:numId w:val="1002"/>
        </w:numPr>
        <w:pStyle w:val="Compact"/>
      </w:pPr>
      <w:r>
        <w:t xml:space="preserve">Using VRFs and threshold randomness beacons to select leaders and committees unpredictably. Without knowing the VRF outputs in advance, an adversary cannot choose targets before they are selected.</w:t>
      </w:r>
    </w:p>
    <w:p>
      <w:pPr>
        <w:numPr>
          <w:ilvl w:val="0"/>
          <w:numId w:val="1002"/>
        </w:numPr>
        <w:pStyle w:val="Compact"/>
      </w:pPr>
      <w:r>
        <w:t xml:space="preserve">Enforcing an</w:t>
      </w:r>
      <w:r>
        <w:t xml:space="preserve"> </w:t>
      </w:r>
      <w:r>
        <w:rPr>
          <w:bCs/>
          <w:b/>
        </w:rPr>
        <w:t xml:space="preserve">unbonding delay</w:t>
      </w:r>
      <w:r>
        <w:t xml:space="preserve"> </w:t>
      </w:r>
      <w:r>
        <w:t xml:space="preserve">on stake withdrawals. A validator cannot immediately leave the system after misbehaviour; thus, the adversary must commit stake and time to each corruption.</w:t>
      </w:r>
    </w:p>
    <w:p>
      <w:pPr>
        <w:numPr>
          <w:ilvl w:val="0"/>
          <w:numId w:val="1002"/>
        </w:numPr>
        <w:pStyle w:val="Compact"/>
      </w:pPr>
      <w:r>
        <w:t xml:space="preserve">Employing diversity penalties and cooldown windows (§6) that reduce the probability of a validator serving on consecutive committees, further limiting the adversary’s ability to accumulate influence quickly.</w:t>
      </w:r>
    </w:p>
    <w:p>
      <w:pPr>
        <w:pStyle w:val="FirstParagraph"/>
      </w:pPr>
      <w:r>
        <w:rPr>
          <w:bCs/>
          <w:b/>
        </w:rPr>
        <w:t xml:space="preserve">Network adversaries</w:t>
      </w:r>
      <w:r>
        <w:t xml:space="preserve"> </w:t>
      </w:r>
      <w:r>
        <w:t xml:space="preserve">may delay, drop or reorder messages. PoSy’s liveness proof assumes that after GST, messages between honest validators arrive within Δ. Before GST, adversarial delays can cause repeated view changes. PoSy mitigates this through exponential backoff of timeouts (increasing (T_0) by factor (φ)) and by not resetting the randomness beacon within an epoch (so adversaries cannot grind for favourable outcomes via repeated view changes). The use of Aegis signatures ensures that messages cannot be forged even when network control is lost.</w:t>
      </w:r>
    </w:p>
    <w:bookmarkEnd w:id="28"/>
    <w:bookmarkStart w:id="29" w:name="crosschain-security-via-sxcp"/>
    <w:p>
      <w:pPr>
        <w:pStyle w:val="Heading2"/>
      </w:pPr>
      <w:r>
        <w:t xml:space="preserve">4.4 Cross‑Chain Security via SXCP</w:t>
      </w:r>
    </w:p>
    <w:p>
      <w:pPr>
        <w:pStyle w:val="FirstParagraph"/>
      </w:pPr>
      <w:r>
        <w:t xml:space="preserve">The decoupling of consensus and cross‑chain planes introduces additional security considerations. PoSy addresses them via the following mechanisms:</w:t>
      </w:r>
    </w:p>
    <w:p>
      <w:pPr>
        <w:numPr>
          <w:ilvl w:val="0"/>
          <w:numId w:val="1003"/>
        </w:numPr>
        <w:pStyle w:val="Compact"/>
      </w:pPr>
      <w:r>
        <w:rPr>
          <w:bCs/>
          <w:b/>
        </w:rPr>
        <w:t xml:space="preserve">Signer Set Randomisation.</w:t>
      </w:r>
      <w:r>
        <w:t xml:space="preserve"> </w:t>
      </w:r>
      <w:r>
        <w:t xml:space="preserve">For each chain (C_i), relayer committees are sampled randomly at epoch boundaries using the same VRF and randomness beacon used for consensus committees (but with a distinct domain separator). This prevents adversaries from maintaining control of the relayer set across epochs.</w:t>
      </w:r>
    </w:p>
    <w:p>
      <w:pPr>
        <w:numPr>
          <w:ilvl w:val="0"/>
          <w:numId w:val="1003"/>
        </w:numPr>
        <w:pStyle w:val="Compact"/>
      </w:pPr>
      <w:r>
        <w:rPr>
          <w:bCs/>
          <w:b/>
        </w:rPr>
        <w:t xml:space="preserve">Epoch Keys.</w:t>
      </w:r>
      <w:r>
        <w:t xml:space="preserve"> </w:t>
      </w:r>
      <w:r>
        <w:t xml:space="preserve">Signer committees derive</w:t>
      </w:r>
      <w:r>
        <w:t xml:space="preserve"> </w:t>
      </w:r>
      <w:r>
        <w:rPr>
          <w:bCs/>
          <w:b/>
        </w:rPr>
        <w:t xml:space="preserve">epoch keys</w:t>
      </w:r>
      <w:r>
        <w:t xml:space="preserve"> </w:t>
      </w:r>
      <w:r>
        <w:t xml:space="preserve">for Aegis threshold signatures at the start of each epoch. Keys are discarded at the end of the epoch. If an adversary compromises a relayer after an epoch concludes, they cannot retroactively forge signatures for previous epochs.</w:t>
      </w:r>
    </w:p>
    <w:p>
      <w:pPr>
        <w:numPr>
          <w:ilvl w:val="0"/>
          <w:numId w:val="1003"/>
        </w:numPr>
        <w:pStyle w:val="Compact"/>
      </w:pPr>
      <w:r>
        <w:rPr>
          <w:bCs/>
          <w:b/>
        </w:rPr>
        <w:t xml:space="preserve">Replay Protection.</w:t>
      </w:r>
      <w:r>
        <w:t xml:space="preserve"> </w:t>
      </w:r>
      <w:r>
        <w:t xml:space="preserve">SXCP messages carry unique identifiers and include Merkle proofs of external events. Consensus validators check for duplicates and finality before inclusion. Once processed, the identifiers are marked as consumed, preventing replay.</w:t>
      </w:r>
    </w:p>
    <w:p>
      <w:pPr>
        <w:numPr>
          <w:ilvl w:val="0"/>
          <w:numId w:val="1003"/>
        </w:numPr>
        <w:pStyle w:val="Compact"/>
      </w:pPr>
      <w:r>
        <w:rPr>
          <w:bCs/>
          <w:b/>
        </w:rPr>
        <w:t xml:space="preserve">Fallback and Rollback Rules.</w:t>
      </w:r>
      <w:r>
        <w:t xml:space="preserve"> </w:t>
      </w:r>
      <w:r>
        <w:t xml:space="preserve">If an external chain experiences a deep reorg beyond (ρ_i), the corresponding SXCP transactions are paused. Consensus cannot revert finalised blocks, but it can pause execution of cross‑chain operations until a new proof is provided. Relayers who misreported finality are slashed.</w:t>
      </w:r>
    </w:p>
    <w:p>
      <w:pPr>
        <w:pStyle w:val="FirstParagraph"/>
      </w:pPr>
      <w:r>
        <w:t xml:space="preserve">These mechanisms ensure that cross‑chain operations cannot compromise the integrity or availability of the core chain, even if external chains experience instability or are attacked.</w:t>
      </w:r>
    </w:p>
    <w:bookmarkEnd w:id="29"/>
    <w:bookmarkStart w:id="30" w:name="pqc-forward-security"/>
    <w:p>
      <w:pPr>
        <w:pStyle w:val="Heading2"/>
      </w:pPr>
      <w:r>
        <w:t xml:space="preserve">4.5 PQC Forward Security</w:t>
      </w:r>
    </w:p>
    <w:p>
      <w:pPr>
        <w:pStyle w:val="FirstParagraph"/>
      </w:pPr>
      <w:r>
        <w:t xml:space="preserve">Synergy uses the</w:t>
      </w:r>
      <w:r>
        <w:t xml:space="preserve"> </w:t>
      </w:r>
      <w:r>
        <w:rPr>
          <w:bCs/>
          <w:b/>
        </w:rPr>
        <w:t xml:space="preserve">Aegis</w:t>
      </w:r>
      <w:r>
        <w:t xml:space="preserve"> </w:t>
      </w:r>
      <w:r>
        <w:t xml:space="preserve">post‑quantum cryptography suite exclusively. PQC forward security provides several advantages:</w:t>
      </w:r>
    </w:p>
    <w:p>
      <w:pPr>
        <w:numPr>
          <w:ilvl w:val="0"/>
          <w:numId w:val="1004"/>
        </w:numPr>
        <w:pStyle w:val="Compact"/>
      </w:pPr>
      <w:r>
        <w:rPr>
          <w:bCs/>
          <w:b/>
        </w:rPr>
        <w:t xml:space="preserve">Quantum resistance:</w:t>
      </w:r>
      <w:r>
        <w:t xml:space="preserve"> </w:t>
      </w:r>
      <w:r>
        <w:t xml:space="preserve">Aegis signatures and threshold signatures are secure against quantum attacks. External chains may still rely on classical signatures, but Synergy does not; cross‑chain messages embed Aegis signatures directly.</w:t>
      </w:r>
    </w:p>
    <w:p>
      <w:pPr>
        <w:numPr>
          <w:ilvl w:val="0"/>
          <w:numId w:val="1004"/>
        </w:numPr>
        <w:pStyle w:val="Compact"/>
      </w:pPr>
      <w:r>
        <w:rPr>
          <w:bCs/>
          <w:b/>
        </w:rPr>
        <w:t xml:space="preserve">Key rotation:</w:t>
      </w:r>
      <w:r>
        <w:t xml:space="preserve"> </w:t>
      </w:r>
      <w:r>
        <w:t xml:space="preserve">Aegis keys are rotated at epoch boundaries via UMA key‑management protocols (§25). Compromising a key in epoch (e) does not compromise signatures from previous epochs.</w:t>
      </w:r>
    </w:p>
    <w:p>
      <w:pPr>
        <w:numPr>
          <w:ilvl w:val="0"/>
          <w:numId w:val="1004"/>
        </w:numPr>
        <w:pStyle w:val="Compact"/>
      </w:pPr>
      <w:r>
        <w:rPr>
          <w:bCs/>
          <w:b/>
        </w:rPr>
        <w:t xml:space="preserve">Auditability:</w:t>
      </w:r>
      <w:r>
        <w:t xml:space="preserve"> </w:t>
      </w:r>
      <w:r>
        <w:t xml:space="preserve">Aegis signature verification is deterministic and efficient. Verifiers can audit QCs and cross‑chain signatures without interactive rounds or complex pairing checks.</w:t>
      </w:r>
    </w:p>
    <w:p>
      <w:pPr>
        <w:numPr>
          <w:ilvl w:val="0"/>
          <w:numId w:val="1004"/>
        </w:numPr>
        <w:pStyle w:val="Compact"/>
      </w:pPr>
      <w:r>
        <w:rPr>
          <w:bCs/>
          <w:b/>
        </w:rPr>
        <w:t xml:space="preserve">Unforgeability:</w:t>
      </w:r>
      <w:r>
        <w:t xml:space="preserve"> </w:t>
      </w:r>
      <w:r>
        <w:t xml:space="preserve">Because no hybrid schemes are used, there is no risk of downgrade attacks whereby an adversary convinces a validator to sign using a weak classical key.</w:t>
      </w:r>
    </w:p>
    <w:p>
      <w:pPr>
        <w:pStyle w:val="FirstParagraph"/>
      </w:pPr>
      <w:r>
        <w:t xml:space="preserve">These properties future‑proof PoSy against advances in quantum computing while preserving compatibility with existing blockchains through SXCP. They are reflected throughout the specification: symbol definitions (§2), committee selection (§6), block structure (§7) and key management (§25).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2025-10-17T06:37:31Z</dcterms:created>
  <dcterms:modified xsi:type="dcterms:W3CDTF">2025-10-17T06:37:31Z</dcterms:modified>
</cp:coreProperties>
</file>

<file path=docProps/custom.xml><?xml version="1.0" encoding="utf-8"?>
<Properties xmlns="http://schemas.openxmlformats.org/officeDocument/2006/custom-properties" xmlns:vt="http://schemas.openxmlformats.org/officeDocument/2006/docPropsVTypes"/>
</file>