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thematical-foundations"/>
    <w:p>
      <w:pPr>
        <w:pStyle w:val="Heading1"/>
      </w:pPr>
      <w:r>
        <w:t xml:space="preserve">5. Mathematical Foundations</w:t>
      </w:r>
    </w:p>
    <w:p>
      <w:pPr>
        <w:pStyle w:val="FirstParagraph"/>
      </w:pPr>
      <w:r>
        <w:t xml:space="preserve">This section formalises the mathematical underpinnings of PoSy. It defines how validator weights are computed and normalised, how quorum certificates are validated, how diversity penalties and reputation updates are applied, and how slashing penalties and timeout backoff are calculated. It then quantifies the communication cost of Aegis signatures and quorum certificates and analyses the probability of adversarial committee capture. Finally, it describes the randomised selection of SXCP relayer committees and provides safety bounds on epoch‑key rollover. These foundations support the quantitative analyses in later sections (§6–§12).</w:t>
      </w:r>
    </w:p>
    <w:bookmarkStart w:id="21" w:name="validator-weight-computation-eq.-1"/>
    <w:p>
      <w:pPr>
        <w:pStyle w:val="Heading2"/>
      </w:pPr>
      <w:r>
        <w:t xml:space="preserve">5.1 Validator Weight Computation (Eq. 1)</w:t>
      </w:r>
    </w:p>
    <w:p>
      <w:pPr>
        <w:pStyle w:val="FirstParagraph"/>
      </w:pPr>
      <w:r>
        <w:t xml:space="preserve">Each validator (i) contributes to the protocol according to three factors:</w:t>
      </w:r>
    </w:p>
    <w:p>
      <w:pPr>
        <w:numPr>
          <w:ilvl w:val="0"/>
          <w:numId w:val="1001"/>
        </w:numPr>
        <w:pStyle w:val="Compact"/>
      </w:pPr>
      <w:r>
        <w:rPr>
          <w:bCs/>
          <w:b/>
        </w:rPr>
        <w:t xml:space="preserve">Stake (s_i):</w:t>
      </w:r>
      <w:r>
        <w:t xml:space="preserve"> </w:t>
      </w:r>
      <w:r>
        <w:t xml:space="preserve">the amount of Synergy tokens bonded by the validator.</w:t>
      </w:r>
    </w:p>
    <w:p>
      <w:pPr>
        <w:numPr>
          <w:ilvl w:val="0"/>
          <w:numId w:val="1001"/>
        </w:numPr>
        <w:pStyle w:val="Compact"/>
      </w:pPr>
      <w:r>
        <w:rPr>
          <w:bCs/>
          <w:b/>
        </w:rPr>
        <w:t xml:space="preserve">Reputation (r_i):</w:t>
      </w:r>
      <w:r>
        <w:t xml:space="preserve"> </w:t>
      </w:r>
      <w:r>
        <w:t xml:space="preserve">a score (0</w:t>
      </w:r>
      <w:r>
        <w:t xml:space="preserve"> </w:t>
      </w:r>
      <w:r>
        <w:t xml:space="preserve">r_i</w:t>
      </w:r>
      <w:r>
        <w:t xml:space="preserve"> </w:t>
      </w:r>
      <w:r>
        <w:t xml:space="preserve">) reflecting historical correctness, availability and timeliness (§8.4).</w:t>
      </w:r>
    </w:p>
    <w:p>
      <w:pPr>
        <w:numPr>
          <w:ilvl w:val="0"/>
          <w:numId w:val="1001"/>
        </w:numPr>
        <w:pStyle w:val="Compact"/>
      </w:pPr>
      <w:r>
        <w:rPr>
          <w:bCs/>
          <w:b/>
        </w:rPr>
        <w:t xml:space="preserve">Contribution (c_i):</w:t>
      </w:r>
      <w:r>
        <w:t xml:space="preserve"> </w:t>
      </w:r>
      <w:r>
        <w:t xml:space="preserve">a continuous score capturing off‑chain or ecosystem contributions (e.g., infrastructure, research, community), normalised to non‑negative real values.</w:t>
      </w:r>
    </w:p>
    <w:p>
      <w:pPr>
        <w:pStyle w:val="FirstParagraph"/>
      </w:pPr>
      <w:r>
        <w:t xml:space="preserve">To compute a</w:t>
      </w:r>
      <w:r>
        <w:t xml:space="preserve"> </w:t>
      </w:r>
      <w:r>
        <w:rPr>
          <w:bCs/>
          <w:b/>
        </w:rPr>
        <w:t xml:space="preserve">raw weight</w:t>
      </w:r>
      <w:r>
        <w:t xml:space="preserve"> </w:t>
      </w:r>
      <w:r>
        <w:t xml:space="preserve">(w_i), these components are combined using exponent parameters (</w:t>
      </w:r>
      <w:r>
        <w:t xml:space="preserve">_s,</w:t>
      </w:r>
      <w:r>
        <w:t xml:space="preserve"> </w:t>
      </w:r>
      <w:r>
        <w:t xml:space="preserve">_r,</w:t>
      </w:r>
      <w:r>
        <w:t xml:space="preserve"> </w:t>
      </w:r>
      <w:r>
        <w:t xml:space="preserve">_c</w:t>
      </w:r>
      <w:r>
        <w:t xml:space="preserve"> </w:t>
      </w:r>
      <w:r>
        <w:t xml:space="preserve">) satisfying (</w:t>
      </w:r>
      <w:r>
        <w:t xml:space="preserve">_s +</w:t>
      </w:r>
      <w:r>
        <w:t xml:space="preserve"> </w:t>
      </w:r>
      <w:r>
        <w:t xml:space="preserve">_r +</w:t>
      </w:r>
      <w:r>
        <w:t xml:space="preserve"> </w:t>
      </w:r>
      <w:r>
        <w:t xml:space="preserve">_c = 1):</w:t>
      </w:r>
    </w:p>
    <w:p>
      <w:pPr>
        <w:pStyle w:val="BodyText"/>
      </w:pPr>
      <w:r>
        <w:t xml:space="preserve">[</w:t>
      </w:r>
      <w:r>
        <w:t xml:space="preserve"> </w:t>
      </w:r>
      <w:r>
        <w:t xml:space="preserve">w_i = s_i^{</w:t>
      </w:r>
      <w:r>
        <w:t xml:space="preserve">_s}</w:t>
      </w:r>
      <w:r>
        <w:t xml:space="preserve"> </w:t>
      </w:r>
      <w:r>
        <w:t xml:space="preserve">r_i^{</w:t>
      </w:r>
      <w:r>
        <w:t xml:space="preserve">_r}</w:t>
      </w:r>
      <w:r>
        <w:t xml:space="preserve"> </w:t>
      </w:r>
      <w:r>
        <w:t xml:space="preserve">(c_i +</w:t>
      </w:r>
      <w:r>
        <w:t xml:space="preserve"> </w:t>
      </w:r>
      <w:r>
        <w:t xml:space="preserve">_c)^{</w:t>
      </w:r>
      <w:r>
        <w:t xml:space="preserve">_c},</w:t>
      </w:r>
      <w:r>
        <w:t xml:space="preserve"> </w:t>
      </w:r>
      <w:r>
        <w:t xml:space="preserve">]</w:t>
      </w:r>
    </w:p>
    <w:p>
      <w:pPr>
        <w:pStyle w:val="BodyText"/>
      </w:pPr>
      <w:r>
        <w:t xml:space="preserve">where (</w:t>
      </w:r>
      <w:r>
        <w:t xml:space="preserve">_c &gt; 0) is a scale factor that ensures validators with zero contribution still obtain non‑zero weight. Exponentiation amplifies or dampens the influence of each factor. For example, (</w:t>
      </w:r>
      <w:r>
        <w:t xml:space="preserve">_s = 0.6), (</w:t>
      </w:r>
      <w:r>
        <w:t xml:space="preserve">_r = 0.3), (</w:t>
      </w:r>
      <w:r>
        <w:t xml:space="preserve">_c = 0.1) place greater emphasis on stake while still rewarding good reputation and contributions.</w:t>
      </w:r>
    </w:p>
    <w:bookmarkStart w:id="20" w:name="worked-example"/>
    <w:p>
      <w:pPr>
        <w:pStyle w:val="Heading3"/>
      </w:pPr>
      <w:r>
        <w:t xml:space="preserve">Worked Example</w:t>
      </w:r>
    </w:p>
    <w:p>
      <w:pPr>
        <w:pStyle w:val="FirstParagraph"/>
      </w:pPr>
      <w:r>
        <w:t xml:space="preserve">Assume three validators with the following attributes:</w:t>
      </w:r>
    </w:p>
    <w:tbl>
      <w:tblPr>
        <w:tblStyle w:val="Table"/>
        <w:tblW w:type="pct" w:w="5000"/>
        <w:tblLook w:firstRow="1" w:lastRow="0" w:firstColumn="0" w:lastColumn="0" w:noHBand="0" w:noVBand="0" w:val="0020"/>
      </w:tblPr>
      <w:tblGrid>
        <w:gridCol w:w="1089"/>
        <w:gridCol w:w="2277"/>
        <w:gridCol w:w="2079"/>
        <w:gridCol w:w="2475"/>
      </w:tblGrid>
      <w:tr>
        <w:trPr>
          <w:tblHeader w:val="true"/>
        </w:trPr>
        <w:tc>
          <w:tcPr/>
          <w:p>
            <w:pPr>
              <w:pStyle w:val="Compact"/>
              <w:jc w:val="left"/>
            </w:pPr>
            <w:r>
              <w:t xml:space="preserve">Validator</w:t>
            </w:r>
          </w:p>
        </w:tc>
        <w:tc>
          <w:tcPr/>
          <w:p>
            <w:pPr>
              <w:pStyle w:val="Compact"/>
              <w:jc w:val="left"/>
            </w:pPr>
            <w:r>
              <w:t xml:space="preserve">Stake (s_i) (SNRG)</w:t>
            </w:r>
          </w:p>
        </w:tc>
        <w:tc>
          <w:tcPr/>
          <w:p>
            <w:pPr>
              <w:pStyle w:val="Compact"/>
              <w:jc w:val="left"/>
            </w:pPr>
            <w:r>
              <w:t xml:space="preserve">Reputation (r_i)</w:t>
            </w:r>
          </w:p>
        </w:tc>
        <w:tc>
          <w:tcPr/>
          <w:p>
            <w:pPr>
              <w:pStyle w:val="Compact"/>
              <w:jc w:val="left"/>
            </w:pPr>
            <w:r>
              <w:t xml:space="preserve">Contribution (c_i)</w:t>
            </w:r>
          </w:p>
        </w:tc>
      </w:tr>
      <w:tr>
        <w:tc>
          <w:tcPr/>
          <w:p>
            <w:pPr>
              <w:pStyle w:val="Compact"/>
              <w:jc w:val="left"/>
            </w:pPr>
            <w:r>
              <w:t xml:space="preserve">Alice</w:t>
            </w:r>
          </w:p>
        </w:tc>
        <w:tc>
          <w:tcPr/>
          <w:p>
            <w:pPr>
              <w:pStyle w:val="Compact"/>
              <w:jc w:val="left"/>
            </w:pPr>
            <w:r>
              <w:t xml:space="preserve">10 000</w:t>
            </w:r>
          </w:p>
        </w:tc>
        <w:tc>
          <w:tcPr/>
          <w:p>
            <w:pPr>
              <w:pStyle w:val="Compact"/>
              <w:jc w:val="left"/>
            </w:pPr>
            <w:r>
              <w:t xml:space="preserve">0.9</w:t>
            </w:r>
          </w:p>
        </w:tc>
        <w:tc>
          <w:tcPr/>
          <w:p>
            <w:pPr>
              <w:pStyle w:val="Compact"/>
              <w:jc w:val="left"/>
            </w:pPr>
            <w:r>
              <w:t xml:space="preserve">2.0</w:t>
            </w:r>
          </w:p>
        </w:tc>
      </w:tr>
      <w:tr>
        <w:tc>
          <w:tcPr/>
          <w:p>
            <w:pPr>
              <w:pStyle w:val="Compact"/>
              <w:jc w:val="left"/>
            </w:pPr>
            <w:r>
              <w:t xml:space="preserve">Bob</w:t>
            </w:r>
          </w:p>
        </w:tc>
        <w:tc>
          <w:tcPr/>
          <w:p>
            <w:pPr>
              <w:pStyle w:val="Compact"/>
              <w:jc w:val="left"/>
            </w:pPr>
            <w:r>
              <w:t xml:space="preserve">5 000</w:t>
            </w:r>
          </w:p>
        </w:tc>
        <w:tc>
          <w:tcPr/>
          <w:p>
            <w:pPr>
              <w:pStyle w:val="Compact"/>
              <w:jc w:val="left"/>
            </w:pPr>
            <w:r>
              <w:t xml:space="preserve">0.8</w:t>
            </w:r>
          </w:p>
        </w:tc>
        <w:tc>
          <w:tcPr/>
          <w:p>
            <w:pPr>
              <w:pStyle w:val="Compact"/>
              <w:jc w:val="left"/>
            </w:pPr>
            <w:r>
              <w:t xml:space="preserve">1.5</w:t>
            </w:r>
          </w:p>
        </w:tc>
      </w:tr>
      <w:tr>
        <w:tc>
          <w:tcPr/>
          <w:p>
            <w:pPr>
              <w:pStyle w:val="Compact"/>
              <w:jc w:val="left"/>
            </w:pPr>
            <w:r>
              <w:t xml:space="preserve">Carol</w:t>
            </w:r>
          </w:p>
        </w:tc>
        <w:tc>
          <w:tcPr/>
          <w:p>
            <w:pPr>
              <w:pStyle w:val="Compact"/>
              <w:jc w:val="left"/>
            </w:pPr>
            <w:r>
              <w:t xml:space="preserve">20 000</w:t>
            </w:r>
          </w:p>
        </w:tc>
        <w:tc>
          <w:tcPr/>
          <w:p>
            <w:pPr>
              <w:pStyle w:val="Compact"/>
              <w:jc w:val="left"/>
            </w:pPr>
            <w:r>
              <w:t xml:space="preserve">0.5</w:t>
            </w:r>
          </w:p>
        </w:tc>
        <w:tc>
          <w:tcPr/>
          <w:p>
            <w:pPr>
              <w:pStyle w:val="Compact"/>
              <w:jc w:val="left"/>
            </w:pPr>
            <w:r>
              <w:t xml:space="preserve">0.5</w:t>
            </w:r>
          </w:p>
        </w:tc>
      </w:tr>
    </w:tbl>
    <w:p>
      <w:pPr>
        <w:pStyle w:val="BodyText"/>
      </w:pPr>
      <w:r>
        <w:t xml:space="preserve">Using (</w:t>
      </w:r>
      <w:r>
        <w:t xml:space="preserve">_s = 0.5), (</w:t>
      </w:r>
      <w:r>
        <w:t xml:space="preserve">_r = 0.3), (</w:t>
      </w:r>
      <w:r>
        <w:t xml:space="preserve">_c = 0.2) and (</w:t>
      </w:r>
      <w:r>
        <w:t xml:space="preserve">_c = 1), we compute:</w:t>
      </w:r>
    </w:p>
    <w:p>
      <w:pPr>
        <w:pStyle w:val="BodyText"/>
      </w:pPr>
      <w:r>
        <w:t xml:space="preserve">[</w:t>
      </w:r>
    </w:p>
    <w:p>
      <w:pPr>
        <w:pStyle w:val="BodyText"/>
      </w:pPr>
      <w:r>
        <w:t xml:space="preserve">]</w:t>
      </w:r>
    </w:p>
    <w:p>
      <w:pPr>
        <w:pStyle w:val="BodyText"/>
      </w:pPr>
      <w:r>
        <w:t xml:space="preserve">Raw weights summarise relative influence before normalisation.</w:t>
      </w:r>
    </w:p>
    <w:bookmarkEnd w:id="20"/>
    <w:bookmarkEnd w:id="21"/>
    <w:bookmarkStart w:id="22" w:name="weight-normalisation-eq.-2"/>
    <w:p>
      <w:pPr>
        <w:pStyle w:val="Heading2"/>
      </w:pPr>
      <w:r>
        <w:t xml:space="preserve">5.2 Weight Normalisation (Eq. 2)</w:t>
      </w:r>
    </w:p>
    <w:p>
      <w:pPr>
        <w:pStyle w:val="FirstParagraph"/>
      </w:pPr>
      <w:r>
        <w:t xml:space="preserve">To derive</w:t>
      </w:r>
      <w:r>
        <w:t xml:space="preserve"> </w:t>
      </w:r>
      <w:r>
        <w:rPr>
          <w:bCs/>
          <w:b/>
        </w:rPr>
        <w:t xml:space="preserve">normalised weights</w:t>
      </w:r>
      <w:r>
        <w:t xml:space="preserve"> </w:t>
      </w:r>
      <w:r>
        <w:t xml:space="preserve">(W_i) used for committee sampling and voting, raw weights are scaled so that they sum to one:</w:t>
      </w:r>
    </w:p>
    <w:p>
      <w:pPr>
        <w:pStyle w:val="BodyText"/>
      </w:pPr>
      <w:r>
        <w:t xml:space="preserve">[</w:t>
      </w:r>
      <w:r>
        <w:t xml:space="preserve"> </w:t>
      </w:r>
      <w:r>
        <w:t xml:space="preserve">W_i =</w:t>
      </w:r>
      <w:r>
        <w:t xml:space="preserve"> </w:t>
      </w:r>
      <w:r>
        <w:t xml:space="preserve">.</w:t>
      </w:r>
      <w:r>
        <w:t xml:space="preserve"> </w:t>
      </w:r>
      <w:r>
        <w:t xml:space="preserve">]</w:t>
      </w:r>
    </w:p>
    <w:p>
      <w:pPr>
        <w:pStyle w:val="BodyText"/>
      </w:pPr>
      <w:r>
        <w:t xml:space="preserve">In the example above, the sum of raw weights is 331.3, giving normalised weights (W_{</w:t>
      </w:r>
      <w:r>
        <w:t xml:space="preserve">} = 0.363), (W_{</w:t>
      </w:r>
      <w:r>
        <w:t xml:space="preserve">} = 0.238), (W_{</w:t>
      </w:r>
      <w:r>
        <w:t xml:space="preserve">} = 0.399). These values feed into the leader and committee selection algorithms (§6), weight threshold calculations and reward distribution (§8).</w:t>
      </w:r>
    </w:p>
    <w:bookmarkEnd w:id="22"/>
    <w:bookmarkStart w:id="23" w:name="quorum-certificate-validity-eq.-3"/>
    <w:p>
      <w:pPr>
        <w:pStyle w:val="Heading2"/>
      </w:pPr>
      <w:r>
        <w:t xml:space="preserve">5.3 Quorum Certificate Validity (Eq. 3)</w:t>
      </w:r>
    </w:p>
    <w:p>
      <w:pPr>
        <w:pStyle w:val="FirstParagraph"/>
      </w:pPr>
      <w:r>
        <w:t xml:space="preserve">A</w:t>
      </w:r>
      <w:r>
        <w:t xml:space="preserve"> </w:t>
      </w:r>
      <w:r>
        <w:rPr>
          <w:bCs/>
          <w:b/>
        </w:rPr>
        <w:t xml:space="preserve">quorum certificate (QC)</w:t>
      </w:r>
      <w:r>
        <w:t xml:space="preserve"> </w:t>
      </w:r>
      <w:r>
        <w:t xml:space="preserve">for block (B) at height (h) is a tuple (</w:t>
      </w:r>
      <w:r>
        <w:t xml:space="preserve">(h,</w:t>
      </w:r>
      <w:r>
        <w:t xml:space="preserve"> </w:t>
      </w:r>
      <w:r>
        <w:t xml:space="preserve">,</w:t>
      </w:r>
      <w:r>
        <w:t xml:space="preserve"> </w:t>
      </w:r>
      <w:r>
        <w:t xml:space="preserve">)) consisting of the block height, a set of validator indices (</w:t>
      </w:r>
      <w:r>
        <w:t xml:space="preserve">) and an aggregated Aegis signature (</w:t>
      </w:r>
      <w:r>
        <w:t xml:space="preserve">). Let (</w:t>
      </w:r>
      <w:r>
        <w:rPr>
          <w:iCs/>
          <w:i/>
        </w:rPr>
        <w:t xml:space="preserve"> </w:t>
      </w:r>
      <w:r>
        <w:rPr>
          <w:iCs/>
          <w:i/>
        </w:rPr>
        <w:t xml:space="preserve">=</w:t>
      </w:r>
      <w:r>
        <w:rPr>
          <w:iCs/>
          <w:i/>
        </w:rPr>
        <w:t xml:space="preserve"> </w:t>
      </w:r>
      <w:r>
        <w:t xml:space="preserve">{i</w:t>
      </w:r>
      <w:r>
        <w:t xml:space="preserve"> </w:t>
      </w:r>
      <w:r>
        <w:t xml:space="preserve">} W_i) be the cumulative weight of the signing set. The QC is considered</w:t>
      </w:r>
      <w:r>
        <w:t xml:space="preserve"> </w:t>
      </w:r>
      <w:r>
        <w:rPr>
          <w:bCs/>
          <w:b/>
        </w:rPr>
        <w:t xml:space="preserve">valid</w:t>
      </w:r>
      <w:r>
        <w:t xml:space="preserve"> </w:t>
      </w:r>
      <w:r>
        <w:t xml:space="preserve">if and only if:</w:t>
      </w:r>
    </w:p>
    <w:p>
      <w:pPr>
        <w:pStyle w:val="BodyText"/>
      </w:pPr>
      <w:r>
        <w:t xml:space="preserve">[</w:t>
      </w:r>
      <w:r>
        <w:t xml:space="preserve"> </w:t>
      </w:r>
      <w:r>
        <w:rPr>
          <w:iCs/>
          <w:i/>
        </w:rPr>
        <w:t xml:space="preserve"> </w:t>
      </w:r>
      <w:r>
        <w:rPr>
          <w:iCs/>
          <w:i/>
        </w:rPr>
        <w:t xml:space="preserve"> </w:t>
      </w:r>
      <w:r>
        <w:rPr>
          <w:iCs/>
          <w:i/>
        </w:rPr>
        <w:t xml:space="preserve">=</w:t>
      </w:r>
      <w:r>
        <w:rPr>
          <w:iCs/>
          <w:i/>
        </w:rPr>
        <w:t xml:space="preserve"> </w:t>
      </w:r>
      <w:r>
        <w:rPr>
          <w:iCs/>
          <w:i/>
        </w:rPr>
        <w:t xml:space="preserve">({(i,</w:t>
      </w:r>
      <w:r>
        <w:rPr>
          <w:iCs/>
          <w:i/>
        </w:rPr>
        <w:t xml:space="preserve"> </w:t>
      </w:r>
      <w:r>
        <w:t xml:space="preserve">{sk_i}(</w:t>
      </w:r>
      <w:r>
        <w:t xml:space="preserve">)) : i</w:t>
      </w:r>
      <w:r>
        <w:t xml:space="preserve"> </w:t>
      </w:r>
      <w:r>
        <w:t xml:space="preserve">}),</w:t>
      </w:r>
      <w:r>
        <w:t xml:space="preserve"> </w:t>
      </w:r>
      <w:r>
        <w:t xml:space="preserve">]</w:t>
      </w:r>
    </w:p>
    <w:p>
      <w:pPr>
        <w:pStyle w:val="BodyText"/>
      </w:pPr>
      <w:r>
        <w:t xml:space="preserve">where (</w:t>
      </w:r>
      <w:r>
        <w:t xml:space="preserve">) encodes the block hash and view number. Validators verify that the aggregated signature (</w:t>
      </w:r>
      <w:r>
        <w:t xml:space="preserve">) corresponds to (</w:t>
      </w:r>
      <w:r>
        <w:t xml:space="preserve">) and that the signers’ public keys match those registered on‑chain. Equation (3) generalises the familiar 2/3 quorum requirement to weighted settings.</w:t>
      </w:r>
    </w:p>
    <w:bookmarkEnd w:id="23"/>
    <w:bookmarkStart w:id="24" w:name="diversitycorrected-weight-eq.-4"/>
    <w:p>
      <w:pPr>
        <w:pStyle w:val="Heading2"/>
      </w:pPr>
      <w:r>
        <w:t xml:space="preserve">5.4 Diversity‑Corrected Weight (Eq. 4)</w:t>
      </w:r>
    </w:p>
    <w:p>
      <w:pPr>
        <w:pStyle w:val="FirstParagraph"/>
      </w:pPr>
      <w:r>
        <w:t xml:space="preserve">Repeated assignment of the same validator cohorts can lead to cartel formation. To mitigate this, PoSy introduces a</w:t>
      </w:r>
      <w:r>
        <w:t xml:space="preserve"> </w:t>
      </w:r>
      <w:r>
        <w:rPr>
          <w:bCs/>
          <w:b/>
        </w:rPr>
        <w:t xml:space="preserve">diversity multiplier</w:t>
      </w:r>
      <w:r>
        <w:t xml:space="preserve"> </w:t>
      </w:r>
      <w:r>
        <w:t xml:space="preserve">(d_i) for each validator. Define (p_i) as the recent co‑committee frequency of validator (i) (fraction of the last (u) rounds in which they shared committees with the same cohort) and (p_0) as the expected co‑committee frequency under random sampling. The diversity multiplier is:</w:t>
      </w:r>
    </w:p>
    <w:p>
      <w:pPr>
        <w:pStyle w:val="BodyText"/>
      </w:pPr>
      <w:r>
        <w:t xml:space="preserve">[</w:t>
      </w:r>
      <w:r>
        <w:t xml:space="preserve"> </w:t>
      </w:r>
      <w:r>
        <w:t xml:space="preserve">d_i =</w:t>
      </w:r>
      <w:r>
        <w:t xml:space="preserve"> </w:t>
      </w:r>
      <w:r>
        <w:t xml:space="preserve">(-</w:t>
      </w:r>
      <w:r>
        <w:t xml:space="preserve">,(p_i - p_0)</w:t>
      </w:r>
      <w:r>
        <w:t xml:space="preserve">),</w:t>
      </w:r>
      <w:r>
        <w:t xml:space="preserve"> </w:t>
      </w:r>
      <w:r>
        <w:t xml:space="preserve">]</w:t>
      </w:r>
    </w:p>
    <w:p>
      <w:pPr>
        <w:pStyle w:val="BodyText"/>
      </w:pPr>
      <w:r>
        <w:t xml:space="preserve">where (</w:t>
      </w:r>
      <w:r>
        <w:t xml:space="preserve">&gt; 0) controls penalty strength. If (p_i &gt; p_0), the exponent is negative and (d_i &lt; 1), reducing the validator’s effective weight. If (p_i &lt; p_0), the multiplier is greater than one, rewarding validators who have not been repeatedly paired with the same cohort. The</w:t>
      </w:r>
      <w:r>
        <w:t xml:space="preserve"> </w:t>
      </w:r>
      <w:r>
        <w:rPr>
          <w:bCs/>
          <w:b/>
        </w:rPr>
        <w:t xml:space="preserve">diversity‑corrected weight</w:t>
      </w:r>
      <w:r>
        <w:t xml:space="preserve"> </w:t>
      </w:r>
      <w:r>
        <w:t xml:space="preserve">used for sampling is (</w:t>
      </w:r>
      <w:r>
        <w:t xml:space="preserve">_i = W_i</w:t>
      </w:r>
      <w:r>
        <w:t xml:space="preserve"> </w:t>
      </w:r>
      <w:r>
        <w:t xml:space="preserve">d_i). The penalty resets when the validator is not selected for (u) rounds. Diversity metrics and parameters are further discussed in §6.</w:t>
      </w:r>
    </w:p>
    <w:bookmarkEnd w:id="24"/>
    <w:bookmarkStart w:id="25" w:name="reputation-update-eq.-5"/>
    <w:p>
      <w:pPr>
        <w:pStyle w:val="Heading2"/>
      </w:pPr>
      <w:r>
        <w:t xml:space="preserve">5.5 Reputation Update (Eq. 5)</w:t>
      </w:r>
    </w:p>
    <w:p>
      <w:pPr>
        <w:pStyle w:val="FirstParagraph"/>
      </w:pPr>
      <w:r>
        <w:t xml:space="preserve">Validator reputation is updated at epoch boundaries using an exponential moving average. Let (r_i^{(e)}) denote validator (i)’s reputation at the end of epoch (e). Define performance metrics:</w:t>
      </w:r>
      <w:r>
        <w:t xml:space="preserve"> </w:t>
      </w:r>
      <w:r>
        <w:rPr>
          <w:bCs/>
          <w:b/>
        </w:rPr>
        <w:t xml:space="preserve">uptime</w:t>
      </w:r>
      <w:r>
        <w:t xml:space="preserve"> </w:t>
      </w:r>
      <w:r>
        <w:t xml:space="preserve">(u_i),</w:t>
      </w:r>
      <w:r>
        <w:t xml:space="preserve"> </w:t>
      </w:r>
      <w:r>
        <w:rPr>
          <w:bCs/>
          <w:b/>
        </w:rPr>
        <w:t xml:space="preserve">correctness</w:t>
      </w:r>
      <w:r>
        <w:t xml:space="preserve"> </w:t>
      </w:r>
      <w:r>
        <w:t xml:space="preserve">(o_i),</w:t>
      </w:r>
      <w:r>
        <w:t xml:space="preserve"> </w:t>
      </w:r>
      <w:r>
        <w:rPr>
          <w:bCs/>
          <w:b/>
        </w:rPr>
        <w:t xml:space="preserve">latency</w:t>
      </w:r>
      <w:r>
        <w:t xml:space="preserve"> </w:t>
      </w:r>
      <w:r>
        <w:t xml:space="preserve">(</w:t>
      </w:r>
      <w:r>
        <w:rPr>
          <w:iCs/>
          <w:i/>
        </w:rPr>
        <w:t xml:space="preserve">i) and</w:t>
      </w:r>
      <w:r>
        <w:rPr>
          <w:iCs/>
          <w:i/>
        </w:rPr>
        <w:t xml:space="preserve"> </w:t>
      </w:r>
      <w:r>
        <w:rPr>
          <w:bCs/>
          <w:b/>
          <w:iCs/>
          <w:i/>
        </w:rPr>
        <w:t xml:space="preserve">contribution</w:t>
      </w:r>
      <w:r>
        <w:rPr>
          <w:iCs/>
          <w:i/>
        </w:rPr>
        <w:t xml:space="preserve"> </w:t>
      </w:r>
      <w:r>
        <w:rPr>
          <w:iCs/>
          <w:i/>
        </w:rPr>
        <w:t xml:space="preserve">(q_i), all scaled to ([0,1]). Let weight coefficients (w_u, w_o, w</w:t>
      </w:r>
      <w:r>
        <w:t xml:space="preserve">, w_q) sum to one. The reputation update rule is:</w:t>
      </w:r>
    </w:p>
    <w:p>
      <w:pPr>
        <w:pStyle w:val="BodyText"/>
      </w:pPr>
      <w:r>
        <w:t xml:space="preserve">[</w:t>
      </w:r>
      <w:r>
        <w:t xml:space="preserve"> </w:t>
      </w:r>
      <w:r>
        <w:t xml:space="preserve">r_i^{(e+1)} =</w:t>
      </w:r>
      <w:r>
        <w:t xml:space="preserve"> </w:t>
      </w:r>
      <w:r>
        <w:t xml:space="preserve">r_i^{(e)} + (1 -</w:t>
      </w:r>
      <w:r>
        <w:t xml:space="preserve"> </w:t>
      </w:r>
      <w:r>
        <w:t xml:space="preserve">)</w:t>
      </w:r>
      <w:r>
        <w:t xml:space="preserve"> </w:t>
      </w:r>
      <w:r>
        <w:t xml:space="preserve">(w_u u_i + w_o o_i + w_</w:t>
      </w:r>
      <w:r>
        <w:t xml:space="preserve">(1 -</w:t>
      </w:r>
      <w:r>
        <w:t xml:space="preserve"> </w:t>
      </w:r>
      <w:r>
        <w:t xml:space="preserve">)_+ + w_q q_i</w:t>
      </w:r>
      <w:r>
        <w:t xml:space="preserve">),</w:t>
      </w:r>
      <w:r>
        <w:t xml:space="preserve"> </w:t>
      </w:r>
      <w:r>
        <w:t xml:space="preserve">]</w:t>
      </w:r>
    </w:p>
    <w:p>
      <w:pPr>
        <w:pStyle w:val="BodyText"/>
      </w:pPr>
      <w:r>
        <w:t xml:space="preserve">where (</w:t>
      </w:r>
      <w:r>
        <w:t xml:space="preserve">(0,1)) is a smoothing factor and ((x)</w:t>
      </w:r>
      <w:r>
        <w:rPr>
          <w:iCs/>
          <w:i/>
        </w:rPr>
        <w:t xml:space="preserve">+ =</w:t>
      </w:r>
      <w:r>
        <w:rPr>
          <w:iCs/>
          <w:i/>
        </w:rPr>
        <w:t xml:space="preserve"> </w:t>
      </w:r>
      <w:r>
        <w:rPr>
          <w:iCs/>
          <w:i/>
        </w:rPr>
        <w:t xml:space="preserve">(x,0)). The latency term is normalised by a reference latency (T</w:t>
      </w:r>
      <w:r>
        <w:t xml:space="preserve">{</w:t>
      </w:r>
      <w:r>
        <w:t xml:space="preserve">}). This equation rewards validators for high uptime and correctness, penalises high latency (delayed votes) and recognises off‑chain contributions. Minimum and maximum bounds (r_{</w:t>
      </w:r>
      <w:r>
        <w:t xml:space="preserve">}, r_{</w:t>
      </w:r>
      <w:r>
        <w:t xml:space="preserve">}) cap the reputation range (§2.5).</w:t>
      </w:r>
    </w:p>
    <w:bookmarkEnd w:id="25"/>
    <w:bookmarkStart w:id="26" w:name="Xda9cdd247dd8e46ec4417abdb6ea898a6561e19"/>
    <w:p>
      <w:pPr>
        <w:pStyle w:val="Heading2"/>
      </w:pPr>
      <w:r>
        <w:t xml:space="preserve">5.6 Punctuality Multiplier and Latency Attestation (Eq. 6)</w:t>
      </w:r>
    </w:p>
    <w:p>
      <w:pPr>
        <w:pStyle w:val="FirstParagraph"/>
      </w:pPr>
      <w:r>
        <w:t xml:space="preserve">To incentivise timely participation, PoSy applies a</w:t>
      </w:r>
      <w:r>
        <w:t xml:space="preserve"> </w:t>
      </w:r>
      <w:r>
        <w:rPr>
          <w:bCs/>
          <w:b/>
        </w:rPr>
        <w:t xml:space="preserve">punctuality multiplier</w:t>
      </w:r>
      <w:r>
        <w:t xml:space="preserve"> </w:t>
      </w:r>
      <w:r>
        <w:t xml:space="preserve">(P_i) to validator (i)’s rewards. Let (</w:t>
      </w:r>
      <w:r>
        <w:t xml:space="preserve">_i) be the average latency of validator (i)’s votes relative to the time they receive the proposal. For each round, validators measure the time between receiving a proposal and submitting their vote, using cryptographically signed timestamps. An exponential penalty is applied:</w:t>
      </w:r>
    </w:p>
    <w:p>
      <w:pPr>
        <w:pStyle w:val="BodyText"/>
      </w:pPr>
      <w:r>
        <w:t xml:space="preserve">[</w:t>
      </w:r>
      <w:r>
        <w:t xml:space="preserve"> </w:t>
      </w:r>
      <w:r>
        <w:t xml:space="preserve">P_i =</w:t>
      </w:r>
      <w:r>
        <w:t xml:space="preserve"> </w:t>
      </w:r>
      <w:r>
        <w:t xml:space="preserve">(-</w:t>
      </w:r>
      <w:r>
        <w:t xml:space="preserve">),</w:t>
      </w:r>
      <w:r>
        <w:t xml:space="preserve"> </w:t>
      </w:r>
      <w:r>
        <w:t xml:space="preserve">]</w:t>
      </w:r>
    </w:p>
    <w:p>
      <w:pPr>
        <w:pStyle w:val="BodyText"/>
      </w:pPr>
      <w:r>
        <w:t xml:space="preserve">where (</w:t>
      </w:r>
      <w:r>
        <w:t xml:space="preserve">&gt;0) controls sensitivity. If (</w:t>
      </w:r>
      <w:r>
        <w:rPr>
          <w:iCs/>
          <w:i/>
        </w:rPr>
        <w:t xml:space="preserve">i = T</w:t>
      </w:r>
      <w:r>
        <w:t xml:space="preserve">{</w:t>
      </w:r>
      <w:r>
        <w:t xml:space="preserve">}), then (P_i = 1). If (</w:t>
      </w:r>
      <w:r>
        <w:t xml:space="preserve">_i) exceeds the reference, the multiplier decreases, reducing the validator’s rewards. Latency attestation uses signed timestamps anchored by Aegis signatures and recorded in the block metadata. This incentivises validators to optimise network connectivity and processing times.</w:t>
      </w:r>
    </w:p>
    <w:bookmarkEnd w:id="26"/>
    <w:bookmarkStart w:id="27" w:name="slashing-penalty-eq.-7"/>
    <w:p>
      <w:pPr>
        <w:pStyle w:val="Heading2"/>
      </w:pPr>
      <w:r>
        <w:t xml:space="preserve">5.7 Slashing Penalty (Eq. 7)</w:t>
      </w:r>
    </w:p>
    <w:p>
      <w:pPr>
        <w:pStyle w:val="FirstParagraph"/>
      </w:pPr>
      <w:r>
        <w:t xml:space="preserve">Slashing removes a fraction of a validator’s stake and reputation when misbehaviour is proven. The penalty combines a</w:t>
      </w:r>
      <w:r>
        <w:t xml:space="preserve"> </w:t>
      </w:r>
      <w:r>
        <w:rPr>
          <w:bCs/>
          <w:b/>
        </w:rPr>
        <w:t xml:space="preserve">base rate</w:t>
      </w:r>
      <w:r>
        <w:t xml:space="preserve"> </w:t>
      </w:r>
      <w:r>
        <w:t xml:space="preserve">(</w:t>
      </w:r>
      <w:r>
        <w:t xml:space="preserve">_0), a</w:t>
      </w:r>
      <w:r>
        <w:t xml:space="preserve"> </w:t>
      </w:r>
      <w:r>
        <w:rPr>
          <w:bCs/>
          <w:b/>
        </w:rPr>
        <w:t xml:space="preserve">reputation adjustment</w:t>
      </w:r>
      <w:r>
        <w:t xml:space="preserve"> </w:t>
      </w:r>
      <w:r>
        <w:t xml:space="preserve">(</w:t>
      </w:r>
      <w:r>
        <w:t xml:space="preserve">_r) and an optional</w:t>
      </w:r>
      <w:r>
        <w:t xml:space="preserve"> </w:t>
      </w:r>
      <w:r>
        <w:rPr>
          <w:bCs/>
          <w:b/>
        </w:rPr>
        <w:t xml:space="preserve">bridge adjustment</w:t>
      </w:r>
      <w:r>
        <w:t xml:space="preserve"> </w:t>
      </w:r>
      <w:r>
        <w:t xml:space="preserve">(</w:t>
      </w:r>
      <w:r>
        <w:t xml:space="preserve">_b) for SXCP relayers. If validator (i) is slashed for offence type (X), the slashed stake is:</w:t>
      </w:r>
    </w:p>
    <w:p>
      <w:pPr>
        <w:pStyle w:val="BodyText"/>
      </w:pPr>
      <w:r>
        <w:t xml:space="preserve">[</w:t>
      </w:r>
      <w:r>
        <w:t xml:space="preserve"> </w:t>
      </w:r>
      <w:r>
        <w:t xml:space="preserve">_i =</w:t>
      </w:r>
      <w:r>
        <w:t xml:space="preserve"> </w:t>
      </w:r>
      <w:r>
        <w:t xml:space="preserve">_0 s_i +</w:t>
      </w:r>
      <w:r>
        <w:t xml:space="preserve"> </w:t>
      </w:r>
      <w:r>
        <w:t xml:space="preserve">_r (1 - r_i) s_i +</w:t>
      </w:r>
      <w:r>
        <w:t xml:space="preserve"> </w:t>
      </w:r>
      <w:r>
        <w:rPr>
          <w:iCs/>
          <w:i/>
        </w:rPr>
        <w:t xml:space="preserve">b</w:t>
      </w:r>
      <w:r>
        <w:rPr>
          <w:iCs/>
          <w:i/>
        </w:rPr>
        <w:t xml:space="preserve"> </w:t>
      </w:r>
      <w:r>
        <w:t xml:space="preserve">{{i</w:t>
      </w:r>
      <w:r>
        <w:t xml:space="preserve"> </w:t>
      </w:r>
      <w:r>
        <w:t xml:space="preserve">}},</w:t>
      </w:r>
      <w:r>
        <w:t xml:space="preserve"> </w:t>
      </w:r>
      <w:r>
        <w:t xml:space="preserve">]</w:t>
      </w:r>
    </w:p>
    <w:p>
      <w:pPr>
        <w:pStyle w:val="BodyText"/>
      </w:pPr>
      <w:r>
        <w:t xml:space="preserve">where (</w:t>
      </w:r>
      <w:r>
        <w:t xml:space="preserve">) is the indicator function. The reputation is decreased by (r_i</w:t>
      </w:r>
      <w:r>
        <w:t xml:space="preserve"> </w:t>
      </w:r>
      <w:r>
        <w:t xml:space="preserve">r_i (1 -</w:t>
      </w:r>
      <w:r>
        <w:t xml:space="preserve"> </w:t>
      </w:r>
      <w:r>
        <w:t xml:space="preserve">_r)). Misbehaviour categories and evidence requirements are detailed in §9.</w:t>
      </w:r>
    </w:p>
    <w:bookmarkEnd w:id="27"/>
    <w:bookmarkStart w:id="28" w:name="timeout-backoff-eq.-8"/>
    <w:p>
      <w:pPr>
        <w:pStyle w:val="Heading2"/>
      </w:pPr>
      <w:r>
        <w:t xml:space="preserve">5.8 Timeout Backoff (Eq. 8)</w:t>
      </w:r>
    </w:p>
    <w:p>
      <w:pPr>
        <w:pStyle w:val="FirstParagraph"/>
      </w:pPr>
      <w:r>
        <w:t xml:space="preserve">Round timeouts are adjusted adaptively. Let (T_{r}) denote the timeout for round (r). After a timeout expires without a QC, the next round uses:</w:t>
      </w:r>
    </w:p>
    <w:p>
      <w:pPr>
        <w:pStyle w:val="BodyText"/>
      </w:pPr>
      <w:r>
        <w:t xml:space="preserve">[</w:t>
      </w:r>
      <w:r>
        <w:t xml:space="preserve"> </w:t>
      </w:r>
      <w:r>
        <w:t xml:space="preserve">T_{r+1} =</w:t>
      </w:r>
      <w:r>
        <w:t xml:space="preserve"> </w:t>
      </w:r>
      <w:r>
        <w:t xml:space="preserve">( T_{</w:t>
      </w:r>
      <w:r>
        <w:t xml:space="preserve">},,</w:t>
      </w:r>
      <w:r>
        <w:t xml:space="preserve"> </w:t>
      </w:r>
      <w:r>
        <w:t xml:space="preserve">T_r</w:t>
      </w:r>
      <w:r>
        <w:t xml:space="preserve"> </w:t>
      </w:r>
      <w:r>
        <w:t xml:space="preserve">),</w:t>
      </w:r>
      <w:r>
        <w:t xml:space="preserve"> </w:t>
      </w:r>
      <w:r>
        <w:t xml:space="preserve">]</w:t>
      </w:r>
    </w:p>
    <w:p>
      <w:pPr>
        <w:pStyle w:val="BodyText"/>
      </w:pPr>
      <w:r>
        <w:t xml:space="preserve">where (</w:t>
      </w:r>
      <w:r>
        <w:t xml:space="preserve">&gt; 1) is the backoff multiplier (default: 2.0) and (T_{</w:t>
      </w:r>
      <w:r>
        <w:t xml:space="preserve">}) is a governance‑defined upper bound. This prevents indefinite growth of timeouts while ensuring they eventually exceed network delays after GST. The base timeout (T_0) and backoff factor are parameters listed in §2.7 and tuned in §10.</w:t>
      </w:r>
    </w:p>
    <w:bookmarkEnd w:id="28"/>
    <w:bookmarkStart w:id="29" w:name="committee-adversarial-overflow-eq.-9"/>
    <w:p>
      <w:pPr>
        <w:pStyle w:val="Heading2"/>
      </w:pPr>
      <w:r>
        <w:t xml:space="preserve">5.9 Committee Adversarial Overflow (Eq. 9)</w:t>
      </w:r>
    </w:p>
    <w:p>
      <w:pPr>
        <w:pStyle w:val="FirstParagraph"/>
      </w:pPr>
      <w:r>
        <w:t xml:space="preserve">The probability that an adversary controls a majority of a randomly sampled committee is critical for security analysis. Suppose the total Byzantine weight is (</w:t>
      </w:r>
      <w:r>
        <w:t xml:space="preserve">W) with (</w:t>
      </w:r>
      <w:r>
        <w:t xml:space="preserve">&lt; 1/3). A committee of size (c) is sampled without replacement proportional to (W_i). We bound the probability that the adversary obtains a fraction greater than one half of the committee weight. Using a</w:t>
      </w:r>
      <w:r>
        <w:t xml:space="preserve"> </w:t>
      </w:r>
      <w:r>
        <w:rPr>
          <w:bCs/>
          <w:b/>
        </w:rPr>
        <w:t xml:space="preserve">Chernoff bound</w:t>
      </w:r>
      <w:r>
        <w:t xml:space="preserve"> </w:t>
      </w:r>
      <w:r>
        <w:t xml:space="preserve">for hypergeometric sampling, we obtain:</w:t>
      </w:r>
    </w:p>
    <w:p>
      <w:pPr>
        <w:pStyle w:val="BodyText"/>
      </w:pPr>
      <w:r>
        <w:t xml:space="preserve">[</w:t>
      </w:r>
      <w:r>
        <w:t xml:space="preserve"> </w:t>
      </w:r>
      <w:r>
        <w:t xml:space="preserve">(-2 c (</w:t>
      </w:r>
      <w:r>
        <w:t xml:space="preserve"> </w:t>
      </w:r>
      <w:r>
        <w:t xml:space="preserve">-</w:t>
      </w:r>
      <w:r>
        <w:t xml:space="preserve"> </w:t>
      </w:r>
      <w:r>
        <w:t xml:space="preserve">)^2</w:t>
      </w:r>
      <w:r>
        <w:t xml:space="preserve">).</w:t>
      </w:r>
      <w:r>
        <w:t xml:space="preserve"> </w:t>
      </w:r>
      <w:r>
        <w:t xml:space="preserve">]</w:t>
      </w:r>
    </w:p>
    <w:p>
      <w:pPr>
        <w:pStyle w:val="BodyText"/>
      </w:pPr>
      <w:r>
        <w:t xml:space="preserve">For example, if (</w:t>
      </w:r>
      <w:r>
        <w:t xml:space="preserve">= 0.3) and (c = 100), the bound is (</w:t>
      </w:r>
      <w:r>
        <w:t xml:space="preserve">(-2</w:t>
      </w:r>
      <w:r>
        <w:t xml:space="preserve"> </w:t>
      </w:r>
      <w:r>
        <w:t xml:space="preserve"> </w:t>
      </w:r>
      <w:r>
        <w:t xml:space="preserve">(0.2)^2) =</w:t>
      </w:r>
      <w:r>
        <w:t xml:space="preserve"> </w:t>
      </w:r>
      <w:r>
        <w:t xml:space="preserve">(-8)</w:t>
      </w:r>
      <w:r>
        <w:t xml:space="preserve"> </w:t>
      </w:r>
      <w:r>
        <w:t xml:space="preserve"> </w:t>
      </w:r>
      <w:r>
        <w:t xml:space="preserve">^{-4}). This shows that even with one third Byzantine weight, the probability that a randomly sampled committee is majority‑Byzantine is extremely small. Increasing committee size reduces this probability exponentially. Detailed derivations and potential refinements are provided in Appendix D.</w:t>
      </w:r>
    </w:p>
    <w:bookmarkEnd w:id="29"/>
    <w:bookmarkStart w:id="30" w:name="Xfff4d22455756ccf988b2e117ad613ebb885118"/>
    <w:p>
      <w:pPr>
        <w:pStyle w:val="Heading2"/>
      </w:pPr>
      <w:r>
        <w:t xml:space="preserve">5.10 Randomised SXCP Committee Sampling (Eq. 10)</w:t>
      </w:r>
    </w:p>
    <w:p>
      <w:pPr>
        <w:pStyle w:val="FirstParagraph"/>
      </w:pPr>
      <w:r>
        <w:t xml:space="preserve">SXCP relayer committees are sampled at the start of each epoch. Let (k) be the target committee size and (</w:t>
      </w:r>
      <w:r>
        <w:t xml:space="preserve">) the set of eligible relayer validators. Sampling uses the same VRF outputs (r_i) and diversity multipliers as consensus sampling, but with a distinct domain separator. We define the</w:t>
      </w:r>
      <w:r>
        <w:t xml:space="preserve"> </w:t>
      </w:r>
      <w:r>
        <w:rPr>
          <w:bCs/>
          <w:b/>
        </w:rPr>
        <w:t xml:space="preserve">selection score</w:t>
      </w:r>
      <w:r>
        <w:t xml:space="preserve"> </w:t>
      </w:r>
      <w:r>
        <w:t xml:space="preserve">for relayer (i) as:</w:t>
      </w:r>
    </w:p>
    <w:p>
      <w:pPr>
        <w:pStyle w:val="BodyText"/>
      </w:pPr>
      <w:r>
        <w:t xml:space="preserve">[</w:t>
      </w:r>
      <w:r>
        <w:t xml:space="preserve"> </w:t>
      </w:r>
      <w:r>
        <w:t xml:space="preserve">_i =</w:t>
      </w:r>
      <w:r>
        <w:t xml:space="preserve"> </w:t>
      </w:r>
      <w:r>
        <w:t xml:space="preserve">,</w:t>
      </w:r>
      <w:r>
        <w:t xml:space="preserve"> </w:t>
      </w:r>
      <w:r>
        <w:t xml:space="preserve">]</w:t>
      </w:r>
    </w:p>
    <w:p>
      <w:pPr>
        <w:pStyle w:val="BodyText"/>
      </w:pPr>
      <w:r>
        <w:t xml:space="preserve">where (</w:t>
      </w:r>
      <w:r>
        <w:t xml:space="preserve">_i) is the relayer’s weight factor defined in §2.10. Relayers with lower scores are selected until (k) relayers have been chosen. Because VRFs are unpredictable and (</w:t>
      </w:r>
      <w:r>
        <w:t xml:space="preserve">_i) reflects staking and performance, this mechanism yields a fair, bias‑resistant committee. The selected committee participates in threshold signing; non‑selected relayers act as watchers and submit misbehaviour reports.</w:t>
      </w:r>
    </w:p>
    <w:bookmarkEnd w:id="30"/>
    <w:bookmarkStart w:id="31" w:name="epochkey-rollover-safety-bounds-eq.-11"/>
    <w:p>
      <w:pPr>
        <w:pStyle w:val="Heading2"/>
      </w:pPr>
      <w:r>
        <w:t xml:space="preserve">5.11 Epoch‑Key Rollover Safety Bounds (Eq. 11)</w:t>
      </w:r>
    </w:p>
    <w:p>
      <w:pPr>
        <w:pStyle w:val="FirstParagraph"/>
      </w:pPr>
      <w:r>
        <w:t xml:space="preserve">At each epoch boundary, SXCP relayer committees generate new</w:t>
      </w:r>
      <w:r>
        <w:t xml:space="preserve"> </w:t>
      </w:r>
      <w:r>
        <w:rPr>
          <w:bCs/>
          <w:b/>
        </w:rPr>
        <w:t xml:space="preserve">epoch keys</w:t>
      </w:r>
      <w:r>
        <w:t xml:space="preserve"> </w:t>
      </w:r>
      <w:r>
        <w:t xml:space="preserve">via a distributed key generation (DKG) protocol. Suppose the previous epoch’s key shares have been compromised by an adversary who corrupted (c) relayers. Let (k) be the committee size and (t) the threshold (t =</w:t>
      </w:r>
      <w:r>
        <w:t xml:space="preserve"> </w:t>
      </w:r>
      <w:r>
        <w:t xml:space="preserve">2k/3</w:t>
      </w:r>
      <w:r>
        <w:t xml:space="preserve"> </w:t>
      </w:r>
      <w:r>
        <w:t xml:space="preserve">+ 1). The probability that the adversary can bias the new key (e.g., by injecting faulty shares) is negligible if the DKG uses verifiable secret sharing and at most (t-1) relayers are corrupted. In the worst case, if (c) corrupted relayers participate in the DKG, the security of the generated key is maintained as long as (c &lt; t). We bound the probability of compromise as:</w:t>
      </w:r>
    </w:p>
    <w:p>
      <w:pPr>
        <w:pStyle w:val="BodyText"/>
      </w:pPr>
      <w:r>
        <w:t xml:space="preserve">[</w:t>
      </w:r>
      <w:r>
        <w:t xml:space="preserve"> </w:t>
      </w:r>
      <w:r>
        <w:t xml:space="preserve">_{j=t}^{k}</w:t>
      </w:r>
      <w:r>
        <w:t xml:space="preserve"> </w:t>
      </w:r>
      <w:r>
        <w:t xml:space="preserve"> </w:t>
      </w:r>
      <w:r>
        <w:t xml:space="preserve">(</w:t>
      </w:r>
      <w:r>
        <w:t xml:space="preserve">)^{j}</w:t>
      </w:r>
      <w:r>
        <w:t xml:space="preserve"> </w:t>
      </w:r>
      <w:r>
        <w:t xml:space="preserve">(1 -</w:t>
      </w:r>
      <w:r>
        <w:t xml:space="preserve"> </w:t>
      </w:r>
      <w:r>
        <w:t xml:space="preserve">)^{k-j}.</w:t>
      </w:r>
      <w:r>
        <w:t xml:space="preserve"> </w:t>
      </w:r>
      <w:r>
        <w:t xml:space="preserve">]</w:t>
      </w:r>
    </w:p>
    <w:p>
      <w:pPr>
        <w:pStyle w:val="BodyText"/>
      </w:pPr>
      <w:r>
        <w:t xml:space="preserve">For example, with (k=9), (t=7) and (c=2), the probability that at least seven out of nine participants are corrupted is (</w:t>
      </w:r>
      <w:r>
        <w:t xml:space="preserve"> </w:t>
      </w:r>
      <w:r>
        <w:t xml:space="preserve">(2/9)^7 (7/9)^2 +</w:t>
      </w:r>
      <w:r>
        <w:t xml:space="preserve"> </w:t>
      </w:r>
      <w:r>
        <w:t xml:space="preserve"> </w:t>
      </w:r>
      <w:r>
        <w:t xml:space="preserve">(2/9)^8 (7/9)^1 +</w:t>
      </w:r>
      <w:r>
        <w:t xml:space="preserve"> </w:t>
      </w:r>
      <w:r>
        <w:t xml:space="preserve"> </w:t>
      </w:r>
      <w:r>
        <w:t xml:space="preserve">(2/9)^9</w:t>
      </w:r>
      <w:r>
        <w:t xml:space="preserve"> </w:t>
      </w:r>
      <w:r>
        <w:t xml:space="preserve"> </w:t>
      </w:r>
      <w:r>
        <w:t xml:space="preserve">^{-5}). This demonstrates the robustness of epoch key rollover against limited corruption. Further improvements (e.g., proactive secret sharing) are topics for future work (§16).</w:t>
      </w:r>
    </w:p>
    <w:bookmarkEnd w:id="31"/>
    <w:bookmarkStart w:id="32" w:name="signature-and-qc-footprint-analysis"/>
    <w:p>
      <w:pPr>
        <w:pStyle w:val="Heading2"/>
      </w:pPr>
      <w:r>
        <w:t xml:space="preserve">5.12 Signature and QC Footprint Analysis</w:t>
      </w:r>
    </w:p>
    <w:p>
      <w:pPr>
        <w:pStyle w:val="FirstParagraph"/>
      </w:pPr>
      <w:r>
        <w:t xml:space="preserve">Aegis signatures have larger byte sizes than classical signatures but offer post‑quantum security. Let (B_{</w:t>
      </w:r>
      <w:r>
        <w:t xml:space="preserve">}) be the size of an individual signature (in bytes) and (B_{</w:t>
      </w:r>
      <w:r>
        <w:t xml:space="preserve">}(c)) the size of a quorum certificate aggregating a committee of size (c). Table 5.1 presents illustrative values for typical committee sizes; actual sizes depend on the Aegis implementation and compression schemes.</w:t>
      </w:r>
    </w:p>
    <w:tbl>
      <w:tblPr>
        <w:tblStyle w:val="Table"/>
        <w:tblW w:type="pct" w:w="5000"/>
        <w:tblLook w:firstRow="1" w:lastRow="0" w:firstColumn="0" w:lastColumn="0" w:noHBand="0" w:noVBand="0" w:val="0020"/>
      </w:tblPr>
      <w:tblGrid>
        <w:gridCol w:w="1262"/>
        <w:gridCol w:w="2640"/>
        <w:gridCol w:w="1893"/>
        <w:gridCol w:w="2123"/>
      </w:tblGrid>
      <w:tr>
        <w:trPr>
          <w:tblHeader w:val="true"/>
        </w:trPr>
        <w:tc>
          <w:tcPr/>
          <w:p>
            <w:pPr>
              <w:pStyle w:val="Compact"/>
              <w:jc w:val="left"/>
            </w:pPr>
            <w:r>
              <w:t xml:space="preserve">Committee size (c)</w:t>
            </w:r>
          </w:p>
        </w:tc>
        <w:tc>
          <w:tcPr/>
          <w:p>
            <w:pPr>
              <w:pStyle w:val="Compact"/>
              <w:jc w:val="left"/>
            </w:pPr>
            <w:r>
              <w:t xml:space="preserve">Individual signature size (B_{</w:t>
            </w:r>
            <w:r>
              <w:t xml:space="preserve">})</w:t>
            </w:r>
          </w:p>
        </w:tc>
        <w:tc>
          <w:tcPr/>
          <w:p>
            <w:pPr>
              <w:pStyle w:val="Compact"/>
              <w:jc w:val="left"/>
            </w:pPr>
            <w:r>
              <w:t xml:space="preserve">QC size (B_{</w:t>
            </w:r>
            <w:r>
              <w:t xml:space="preserve">}(c))</w:t>
            </w:r>
          </w:p>
        </w:tc>
        <w:tc>
          <w:tcPr/>
          <w:p>
            <w:pPr>
              <w:pStyle w:val="Compact"/>
              <w:jc w:val="left"/>
            </w:pPr>
            <w:r>
              <w:t xml:space="preserve">Per‑round latency (PREPARE→COMMIT)</w:t>
            </w:r>
          </w:p>
        </w:tc>
      </w:tr>
      <w:tr>
        <w:tc>
          <w:tcPr/>
          <w:p>
            <w:pPr>
              <w:pStyle w:val="Compact"/>
              <w:jc w:val="left"/>
            </w:pPr>
            <w:r>
              <w:t xml:space="preserve">50</w:t>
            </w:r>
          </w:p>
        </w:tc>
        <w:tc>
          <w:tcPr/>
          <w:p>
            <w:pPr>
              <w:pStyle w:val="Compact"/>
              <w:jc w:val="left"/>
            </w:pPr>
            <w:r>
              <w:t xml:space="preserve">2 kB</w:t>
            </w:r>
          </w:p>
        </w:tc>
        <w:tc>
          <w:tcPr/>
          <w:p>
            <w:pPr>
              <w:pStyle w:val="Compact"/>
              <w:jc w:val="left"/>
            </w:pPr>
            <w:r>
              <w:t xml:space="preserve">≈4 kB</w:t>
            </w:r>
          </w:p>
        </w:tc>
        <w:tc>
          <w:tcPr/>
          <w:p>
            <w:pPr>
              <w:pStyle w:val="Compact"/>
              <w:jc w:val="left"/>
            </w:pPr>
            <w:r>
              <w:t xml:space="preserve">≈200 ms (network + verification)</w:t>
            </w:r>
          </w:p>
        </w:tc>
      </w:tr>
      <w:tr>
        <w:tc>
          <w:tcPr/>
          <w:p>
            <w:pPr>
              <w:pStyle w:val="Compact"/>
              <w:jc w:val="left"/>
            </w:pPr>
            <w:r>
              <w:t xml:space="preserve">100</w:t>
            </w:r>
          </w:p>
        </w:tc>
        <w:tc>
          <w:tcPr/>
          <w:p>
            <w:pPr>
              <w:pStyle w:val="Compact"/>
              <w:jc w:val="left"/>
            </w:pPr>
            <w:r>
              <w:t xml:space="preserve">2 kB</w:t>
            </w:r>
          </w:p>
        </w:tc>
        <w:tc>
          <w:tcPr/>
          <w:p>
            <w:pPr>
              <w:pStyle w:val="Compact"/>
              <w:jc w:val="left"/>
            </w:pPr>
            <w:r>
              <w:t xml:space="preserve">≈4 kB</w:t>
            </w:r>
          </w:p>
        </w:tc>
        <w:tc>
          <w:tcPr/>
          <w:p>
            <w:pPr>
              <w:pStyle w:val="Compact"/>
              <w:jc w:val="left"/>
            </w:pPr>
            <w:r>
              <w:t xml:space="preserve">≈350 ms</w:t>
            </w:r>
          </w:p>
        </w:tc>
      </w:tr>
      <w:tr>
        <w:tc>
          <w:tcPr/>
          <w:p>
            <w:pPr>
              <w:pStyle w:val="Compact"/>
              <w:jc w:val="left"/>
            </w:pPr>
            <w:r>
              <w:t xml:space="preserve">300</w:t>
            </w:r>
          </w:p>
        </w:tc>
        <w:tc>
          <w:tcPr/>
          <w:p>
            <w:pPr>
              <w:pStyle w:val="Compact"/>
              <w:jc w:val="left"/>
            </w:pPr>
            <w:r>
              <w:t xml:space="preserve">2 kB</w:t>
            </w:r>
          </w:p>
        </w:tc>
        <w:tc>
          <w:tcPr/>
          <w:p>
            <w:pPr>
              <w:pStyle w:val="Compact"/>
              <w:jc w:val="left"/>
            </w:pPr>
            <w:r>
              <w:t xml:space="preserve">≈4 kB</w:t>
            </w:r>
          </w:p>
        </w:tc>
        <w:tc>
          <w:tcPr/>
          <w:p>
            <w:pPr>
              <w:pStyle w:val="Compact"/>
              <w:jc w:val="left"/>
            </w:pPr>
            <w:r>
              <w:t xml:space="preserve">≈850 ms</w:t>
            </w:r>
          </w:p>
        </w:tc>
      </w:tr>
    </w:tbl>
    <w:p>
      <w:pPr>
        <w:pStyle w:val="BodyText"/>
      </w:pPr>
      <w:r>
        <w:t xml:space="preserve">Here, the QC size remains roughly constant because Aegis multi‑signature aggregation compresses many individual signatures into a constant‑size proof. However, verification time increases with committee size due to the need to compute aggregated public keys and weights. These values inform the choice of committee size (§6) and timeout parameters (§12). Future optimisations may reduce signature sizes or verification costs while maintaining PQC security.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2025-10-17T06:39:45Z</dcterms:created>
  <dcterms:modified xsi:type="dcterms:W3CDTF">2025-10-17T06:39:45Z</dcterms:modified>
</cp:coreProperties>
</file>

<file path=docProps/custom.xml><?xml version="1.0" encoding="utf-8"?>
<Properties xmlns="http://schemas.openxmlformats.org/officeDocument/2006/custom-properties" xmlns:vt="http://schemas.openxmlformats.org/officeDocument/2006/docPropsVTypes"/>
</file>