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block-structure-and-quorum-certificates"/>
    <w:p>
      <w:pPr>
        <w:pStyle w:val="Heading1"/>
      </w:pPr>
      <w:r>
        <w:t xml:space="preserve">7 Block Structure and Quorum Certificates</w:t>
      </w:r>
    </w:p>
    <w:bookmarkStart w:id="20" w:name="block-serialization-and-antimalleability"/>
    <w:p>
      <w:pPr>
        <w:pStyle w:val="Heading2"/>
      </w:pPr>
      <w:r>
        <w:t xml:space="preserve">7.1 Block Serialization and Anti‑Malleability</w:t>
      </w:r>
    </w:p>
    <w:p>
      <w:pPr>
        <w:pStyle w:val="FirstParagraph"/>
      </w:pPr>
      <w:r>
        <w:t xml:space="preserve">PoSy blocks encapsulate consensus state, execution results and cross‑chain data. All fields are serialized using a canonical, length‑prefixed encoding so that every honest party derives the same byte string. A block header consists of:</w:t>
      </w:r>
    </w:p>
    <w:p>
      <w:pPr>
        <w:pStyle w:val="SourceCode"/>
      </w:pPr>
      <w:r>
        <w:rPr>
          <w:rStyle w:val="KeywordTok"/>
        </w:rPr>
        <w:t xml:space="preserve">struct</w:t>
      </w:r>
      <w:r>
        <w:rPr>
          <w:rStyle w:val="NormalTok"/>
        </w:rPr>
        <w:t xml:space="preserve"> BlockHeader </w:t>
      </w:r>
      <w:r>
        <w:rPr>
          <w:rStyle w:val="OperatorTok"/>
        </w:rPr>
        <w:t xml:space="preserve">{</w:t>
      </w:r>
      <w:r>
        <w:br/>
      </w:r>
      <w:r>
        <w:rPr>
          <w:rStyle w:val="NormalTok"/>
        </w:rPr>
        <w:t xml:space="preserve">    </w:t>
      </w:r>
      <w:r>
        <w:rPr>
          <w:rStyle w:val="CommentTok"/>
        </w:rPr>
        <w:t xml:space="preserve">// Chain context</w:t>
      </w:r>
      <w:r>
        <w:br/>
      </w:r>
      <w:r>
        <w:rPr>
          <w:rStyle w:val="NormalTok"/>
        </w:rPr>
        <w:t xml:space="preserve">    parent_hash</w:t>
      </w:r>
      <w:r>
        <w:rPr>
          <w:rStyle w:val="OperatorTok"/>
        </w:rPr>
        <w:t xml:space="preserve">:</w:t>
      </w:r>
      <w:r>
        <w:rPr>
          <w:rStyle w:val="NormalTok"/>
        </w:rPr>
        <w:t xml:space="preserve"> Hash256</w:t>
      </w:r>
      <w:r>
        <w:rPr>
          <w:rStyle w:val="OperatorTok"/>
        </w:rPr>
        <w:t xml:space="preserve">,</w:t>
      </w:r>
      <w:r>
        <w:rPr>
          <w:rStyle w:val="NormalTok"/>
        </w:rPr>
        <w:t xml:space="preserve">      </w:t>
      </w:r>
      <w:r>
        <w:rPr>
          <w:rStyle w:val="CommentTok"/>
        </w:rPr>
        <w:t xml:space="preserve">// BLAKE3 hash of parent block</w:t>
      </w:r>
      <w:r>
        <w:br/>
      </w:r>
      <w:r>
        <w:rPr>
          <w:rStyle w:val="NormalTok"/>
        </w:rPr>
        <w:t xml:space="preserve">    height</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w:t>
      </w:r>
      <w:r>
        <w:rPr>
          <w:rStyle w:val="CommentTok"/>
        </w:rPr>
        <w:t xml:space="preserve">// Monotonic block height</w:t>
      </w:r>
      <w:r>
        <w:br/>
      </w:r>
      <w:r>
        <w:rPr>
          <w:rStyle w:val="NormalTok"/>
        </w:rPr>
        <w:t xml:space="preserve">    epoch</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w:t>
      </w:r>
      <w:r>
        <w:rPr>
          <w:rStyle w:val="CommentTok"/>
        </w:rPr>
        <w:t xml:space="preserve">// Epoch identifier</w:t>
      </w:r>
      <w:r>
        <w:br/>
      </w:r>
      <w:r>
        <w:rPr>
          <w:rStyle w:val="NormalTok"/>
        </w:rPr>
        <w:t xml:space="preserve">    round</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w:t>
      </w:r>
      <w:r>
        <w:rPr>
          <w:rStyle w:val="CommentTok"/>
        </w:rPr>
        <w:t xml:space="preserve">// Logical round within epoch</w:t>
      </w:r>
      <w:r>
        <w:br/>
      </w:r>
      <w:r>
        <w:rPr>
          <w:rStyle w:val="NormalTok"/>
        </w:rPr>
        <w:t xml:space="preserve">    timestamp</w:t>
      </w:r>
      <w:r>
        <w:rPr>
          <w:rStyle w:val="OperatorTok"/>
        </w:rPr>
        <w:t xml:space="preserve">:</w:t>
      </w:r>
      <w:r>
        <w:rPr>
          <w:rStyle w:val="NormalTok"/>
        </w:rPr>
        <w:t xml:space="preserve"> </w:t>
      </w:r>
      <w:r>
        <w:rPr>
          <w:rStyle w:val="DataTypeTok"/>
        </w:rPr>
        <w:t xml:space="preserve">i64</w:t>
      </w:r>
      <w:r>
        <w:rPr>
          <w:rStyle w:val="OperatorTok"/>
        </w:rPr>
        <w:t xml:space="preserve">,</w:t>
      </w:r>
      <w:r>
        <w:rPr>
          <w:rStyle w:val="NormalTok"/>
        </w:rPr>
        <w:t xml:space="preserve">            </w:t>
      </w:r>
      <w:r>
        <w:rPr>
          <w:rStyle w:val="CommentTok"/>
        </w:rPr>
        <w:t xml:space="preserve">// Unix time (milliseconds)</w:t>
      </w:r>
      <w:r>
        <w:br/>
      </w:r>
      <w:r>
        <w:br/>
      </w:r>
      <w:r>
        <w:rPr>
          <w:rStyle w:val="NormalTok"/>
        </w:rPr>
        <w:t xml:space="preserve">    </w:t>
      </w:r>
      <w:r>
        <w:rPr>
          <w:rStyle w:val="CommentTok"/>
        </w:rPr>
        <w:t xml:space="preserve">// Merkle roots for data availability</w:t>
      </w:r>
      <w:r>
        <w:br/>
      </w:r>
      <w:r>
        <w:rPr>
          <w:rStyle w:val="NormalTok"/>
        </w:rPr>
        <w:t xml:space="preserve">    tx_root</w:t>
      </w:r>
      <w:r>
        <w:rPr>
          <w:rStyle w:val="OperatorTok"/>
        </w:rPr>
        <w:t xml:space="preserve">:</w:t>
      </w:r>
      <w:r>
        <w:rPr>
          <w:rStyle w:val="NormalTok"/>
        </w:rPr>
        <w:t xml:space="preserve"> Hash256</w:t>
      </w:r>
      <w:r>
        <w:rPr>
          <w:rStyle w:val="OperatorTok"/>
        </w:rPr>
        <w:t xml:space="preserve">,</w:t>
      </w:r>
      <w:r>
        <w:rPr>
          <w:rStyle w:val="NormalTok"/>
        </w:rPr>
        <w:t xml:space="preserve">          </w:t>
      </w:r>
      <w:r>
        <w:rPr>
          <w:rStyle w:val="CommentTok"/>
        </w:rPr>
        <w:t xml:space="preserve">// Root of transaction Merkle tree</w:t>
      </w:r>
      <w:r>
        <w:br/>
      </w:r>
      <w:r>
        <w:rPr>
          <w:rStyle w:val="NormalTok"/>
        </w:rPr>
        <w:t xml:space="preserve">    state_root</w:t>
      </w:r>
      <w:r>
        <w:rPr>
          <w:rStyle w:val="OperatorTok"/>
        </w:rPr>
        <w:t xml:space="preserve">:</w:t>
      </w:r>
      <w:r>
        <w:rPr>
          <w:rStyle w:val="NormalTok"/>
        </w:rPr>
        <w:t xml:space="preserve"> Hash256</w:t>
      </w:r>
      <w:r>
        <w:rPr>
          <w:rStyle w:val="OperatorTok"/>
        </w:rPr>
        <w:t xml:space="preserve">,</w:t>
      </w:r>
      <w:r>
        <w:rPr>
          <w:rStyle w:val="NormalTok"/>
        </w:rPr>
        <w:t xml:space="preserve">       </w:t>
      </w:r>
      <w:r>
        <w:rPr>
          <w:rStyle w:val="CommentTok"/>
        </w:rPr>
        <w:t xml:space="preserve">// Root of state after execution</w:t>
      </w:r>
      <w:r>
        <w:br/>
      </w:r>
      <w:r>
        <w:rPr>
          <w:rStyle w:val="NormalTok"/>
        </w:rPr>
        <w:t xml:space="preserve">    receipt_root</w:t>
      </w:r>
      <w:r>
        <w:rPr>
          <w:rStyle w:val="OperatorTok"/>
        </w:rPr>
        <w:t xml:space="preserve">:</w:t>
      </w:r>
      <w:r>
        <w:rPr>
          <w:rStyle w:val="NormalTok"/>
        </w:rPr>
        <w:t xml:space="preserve"> Hash256</w:t>
      </w:r>
      <w:r>
        <w:rPr>
          <w:rStyle w:val="OperatorTok"/>
        </w:rPr>
        <w:t xml:space="preserve">,</w:t>
      </w:r>
      <w:r>
        <w:rPr>
          <w:rStyle w:val="NormalTok"/>
        </w:rPr>
        <w:t xml:space="preserve">     </w:t>
      </w:r>
      <w:r>
        <w:rPr>
          <w:rStyle w:val="CommentTok"/>
        </w:rPr>
        <w:t xml:space="preserve">// Root of execution receipts</w:t>
      </w:r>
      <w:r>
        <w:br/>
      </w:r>
      <w:r>
        <w:br/>
      </w:r>
      <w:r>
        <w:rPr>
          <w:rStyle w:val="NormalTok"/>
        </w:rPr>
        <w:t xml:space="preserve">    </w:t>
      </w:r>
      <w:r>
        <w:rPr>
          <w:rStyle w:val="CommentTok"/>
        </w:rPr>
        <w:t xml:space="preserve">// Consensus metadata</w:t>
      </w:r>
      <w:r>
        <w:br/>
      </w:r>
      <w:r>
        <w:rPr>
          <w:rStyle w:val="NormalTok"/>
        </w:rPr>
        <w:t xml:space="preserve">    vrf_output</w:t>
      </w:r>
      <w:r>
        <w:rPr>
          <w:rStyle w:val="OperatorTok"/>
        </w:rPr>
        <w:t xml:space="preserve">:</w:t>
      </w:r>
      <w:r>
        <w:rPr>
          <w:rStyle w:val="NormalTok"/>
        </w:rPr>
        <w:t xml:space="preserve"> Bytes32</w:t>
      </w:r>
      <w:r>
        <w:rPr>
          <w:rStyle w:val="OperatorTok"/>
        </w:rPr>
        <w:t xml:space="preserve">,</w:t>
      </w:r>
      <w:r>
        <w:rPr>
          <w:rStyle w:val="NormalTok"/>
        </w:rPr>
        <w:t xml:space="preserve">       </w:t>
      </w:r>
      <w:r>
        <w:rPr>
          <w:rStyle w:val="CommentTok"/>
        </w:rPr>
        <w:t xml:space="preserve">// Aegis VRF result for leader/committee sampling</w:t>
      </w:r>
      <w:r>
        <w:br/>
      </w:r>
      <w:r>
        <w:rPr>
          <w:rStyle w:val="NormalTok"/>
        </w:rPr>
        <w:t xml:space="preserve">    qc_prev</w:t>
      </w:r>
      <w:r>
        <w:rPr>
          <w:rStyle w:val="OperatorTok"/>
        </w:rPr>
        <w:t xml:space="preserve">:</w:t>
      </w:r>
      <w:r>
        <w:rPr>
          <w:rStyle w:val="NormalTok"/>
        </w:rPr>
        <w:t xml:space="preserve"> QuorumCertificate</w:t>
      </w:r>
      <w:r>
        <w:rPr>
          <w:rStyle w:val="OperatorTok"/>
        </w:rPr>
        <w:t xml:space="preserve">,</w:t>
      </w:r>
      <w:r>
        <w:rPr>
          <w:rStyle w:val="CommentTok"/>
        </w:rPr>
        <w:t xml:space="preserve">// QC for parent block (commit phase)</w:t>
      </w:r>
      <w:r>
        <w:br/>
      </w:r>
      <w:r>
        <w:br/>
      </w:r>
      <w:r>
        <w:rPr>
          <w:rStyle w:val="NormalTok"/>
        </w:rPr>
        <w:t xml:space="preserve">    </w:t>
      </w:r>
      <w:r>
        <w:rPr>
          <w:rStyle w:val="CommentTok"/>
        </w:rPr>
        <w:t xml:space="preserve">// Optional SXCP checkpoint</w:t>
      </w:r>
      <w:r>
        <w:br/>
      </w:r>
      <w:r>
        <w:rPr>
          <w:rStyle w:val="NormalTok"/>
        </w:rPr>
        <w:t xml:space="preserve">    sxcp_checkpoint</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SXCPCheckpoint</w:t>
      </w:r>
      <w:r>
        <w:rPr>
          <w:rStyle w:val="OperatorTok"/>
        </w:rPr>
        <w:t xml:space="preserve">&gt;,</w:t>
      </w:r>
      <w:r>
        <w:br/>
      </w:r>
      <w:r>
        <w:br/>
      </w:r>
      <w:r>
        <w:rPr>
          <w:rStyle w:val="NormalTok"/>
        </w:rPr>
        <w:t xml:space="preserve">    </w:t>
      </w:r>
      <w:r>
        <w:rPr>
          <w:rStyle w:val="CommentTok"/>
        </w:rPr>
        <w:t xml:space="preserve">// Leader signature</w:t>
      </w:r>
      <w:r>
        <w:br/>
      </w:r>
      <w:r>
        <w:rPr>
          <w:rStyle w:val="NormalTok"/>
        </w:rPr>
        <w:t xml:space="preserve">    leader_sig</w:t>
      </w:r>
      <w:r>
        <w:rPr>
          <w:rStyle w:val="OperatorTok"/>
        </w:rPr>
        <w:t xml:space="preserve">:</w:t>
      </w:r>
      <w:r>
        <w:rPr>
          <w:rStyle w:val="NormalTok"/>
        </w:rPr>
        <w:t xml:space="preserve"> AegisSignature </w:t>
      </w:r>
      <w:r>
        <w:rPr>
          <w:rStyle w:val="CommentTok"/>
        </w:rPr>
        <w:t xml:space="preserve">// Aegis signature over the header sans this field</w:t>
      </w:r>
      <w:r>
        <w:br/>
      </w:r>
      <w:r>
        <w:rPr>
          <w:rStyle w:val="OperatorTok"/>
        </w:rPr>
        <w:t xml:space="preserve">}</w:t>
      </w:r>
      <w:r>
        <w:br/>
      </w:r>
      <w:r>
        <w:br/>
      </w:r>
      <w:r>
        <w:rPr>
          <w:rStyle w:val="KeywordTok"/>
        </w:rPr>
        <w:t xml:space="preserve">struct</w:t>
      </w:r>
      <w:r>
        <w:rPr>
          <w:rStyle w:val="NormalTok"/>
        </w:rPr>
        <w:t xml:space="preserve"> SXCPCheckpoint </w:t>
      </w:r>
      <w:r>
        <w:rPr>
          <w:rStyle w:val="OperatorTok"/>
        </w:rPr>
        <w:t xml:space="preserve">{</w:t>
      </w:r>
      <w:r>
        <w:br/>
      </w:r>
      <w:r>
        <w:rPr>
          <w:rStyle w:val="NormalTok"/>
        </w:rPr>
        <w:t xml:space="preserve">    chains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ChainID</w:t>
      </w:r>
      <w:r>
        <w:rPr>
          <w:rStyle w:val="OperatorTok"/>
        </w:rPr>
        <w:t xml:space="preserve">&gt;,</w:t>
      </w:r>
      <w:r>
        <w:rPr>
          <w:rStyle w:val="NormalTok"/>
        </w:rPr>
        <w:t xml:space="preserve">                  </w:t>
      </w:r>
      <w:r>
        <w:rPr>
          <w:rStyle w:val="CommentTok"/>
        </w:rPr>
        <w:t xml:space="preserve">// External chains included</w:t>
      </w:r>
      <w:r>
        <w:br/>
      </w:r>
      <w:r>
        <w:rPr>
          <w:rStyle w:val="NormalTok"/>
        </w:rPr>
        <w:t xml:space="preserve">    attestations</w:t>
      </w:r>
      <w:r>
        <w:rPr>
          <w:rStyle w:val="OperatorTok"/>
        </w:rPr>
        <w:t xml:space="preserve">:</w:t>
      </w:r>
      <w:r>
        <w:rPr>
          <w:rStyle w:val="NormalTok"/>
        </w:rPr>
        <w:t xml:space="preserve"> HashMap</w:t>
      </w:r>
      <w:r>
        <w:rPr>
          <w:rStyle w:val="OperatorTok"/>
        </w:rPr>
        <w:t xml:space="preserve">&lt;</w:t>
      </w:r>
      <w:r>
        <w:rPr>
          <w:rStyle w:val="NormalTok"/>
        </w:rPr>
        <w:t xml:space="preserve">ChainID</w:t>
      </w:r>
      <w:r>
        <w:rPr>
          <w:rStyle w:val="OperatorTok"/>
        </w:rPr>
        <w:t xml:space="preserve">,</w:t>
      </w:r>
      <w:r>
        <w:rPr>
          <w:rStyle w:val="NormalTok"/>
        </w:rPr>
        <w:t xml:space="preserve"> SXCPAttestation</w:t>
      </w:r>
      <w:r>
        <w:rPr>
          <w:rStyle w:val="OperatorTok"/>
        </w:rPr>
        <w:t xml:space="preserve">&gt;,</w:t>
      </w:r>
      <w:r>
        <w:br/>
      </w:r>
      <w:r>
        <w:rPr>
          <w:rStyle w:val="NormalTok"/>
        </w:rPr>
        <w:t xml:space="preserve">    aggregated_proof</w:t>
      </w:r>
      <w:r>
        <w:rPr>
          <w:rStyle w:val="OperatorTok"/>
        </w:rPr>
        <w:t xml:space="preserve">:</w:t>
      </w:r>
      <w:r>
        <w:rPr>
          <w:rStyle w:val="NormalTok"/>
        </w:rPr>
        <w:t xml:space="preserve"> HashMap</w:t>
      </w:r>
      <w:r>
        <w:rPr>
          <w:rStyle w:val="OperatorTok"/>
        </w:rPr>
        <w:t xml:space="preserve">&lt;</w:t>
      </w:r>
      <w:r>
        <w:rPr>
          <w:rStyle w:val="NormalTok"/>
        </w:rPr>
        <w:t xml:space="preserve">ChainID</w:t>
      </w:r>
      <w:r>
        <w:rPr>
          <w:rStyle w:val="OperatorTok"/>
        </w:rPr>
        <w:t xml:space="preserve">,</w:t>
      </w:r>
      <w:r>
        <w:rPr>
          <w:rStyle w:val="NormalTok"/>
        </w:rPr>
        <w:t xml:space="preserve"> AegisAggregateSignature</w:t>
      </w:r>
      <w:r>
        <w:rPr>
          <w:rStyle w:val="OperatorTok"/>
        </w:rPr>
        <w:t xml:space="preserve">&gt;,</w:t>
      </w:r>
      <w:r>
        <w:br/>
      </w:r>
      <w:r>
        <w:rPr>
          <w:rStyle w:val="OperatorTok"/>
        </w:rPr>
        <w:t xml:space="preserve">}</w:t>
      </w:r>
      <w:r>
        <w:br/>
      </w:r>
      <w:r>
        <w:br/>
      </w:r>
      <w:r>
        <w:rPr>
          <w:rStyle w:val="KeywordTok"/>
        </w:rPr>
        <w:t xml:space="preserve">struct</w:t>
      </w:r>
      <w:r>
        <w:rPr>
          <w:rStyle w:val="NormalTok"/>
        </w:rPr>
        <w:t xml:space="preserve"> SXCPAttestation </w:t>
      </w:r>
      <w:r>
        <w:rPr>
          <w:rStyle w:val="OperatorTok"/>
        </w:rPr>
        <w:t xml:space="preserve">{</w:t>
      </w:r>
      <w:r>
        <w:br/>
      </w:r>
      <w:r>
        <w:rPr>
          <w:rStyle w:val="NormalTok"/>
        </w:rPr>
        <w:t xml:space="preserve">    chain_id</w:t>
      </w:r>
      <w:r>
        <w:rPr>
          <w:rStyle w:val="OperatorTok"/>
        </w:rPr>
        <w:t xml:space="preserve">:</w:t>
      </w:r>
      <w:r>
        <w:rPr>
          <w:rStyle w:val="NormalTok"/>
        </w:rPr>
        <w:t xml:space="preserve"> ChainID</w:t>
      </w:r>
      <w:r>
        <w:rPr>
          <w:rStyle w:val="OperatorTok"/>
        </w:rPr>
        <w:t xml:space="preserve">,</w:t>
      </w:r>
      <w:r>
        <w:br/>
      </w:r>
      <w:r>
        <w:rPr>
          <w:rStyle w:val="NormalTok"/>
        </w:rPr>
        <w:t xml:space="preserve">    last_finalized_height</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state_root</w:t>
      </w:r>
      <w:r>
        <w:rPr>
          <w:rStyle w:val="OperatorTok"/>
        </w:rPr>
        <w:t xml:space="preserve">:</w:t>
      </w:r>
      <w:r>
        <w:rPr>
          <w:rStyle w:val="NormalTok"/>
        </w:rPr>
        <w:t xml:space="preserve"> Hash256</w:t>
      </w:r>
      <w:r>
        <w:rPr>
          <w:rStyle w:val="OperatorTok"/>
        </w:rPr>
        <w:t xml:space="preserve">,</w:t>
      </w:r>
      <w:r>
        <w:br/>
      </w:r>
      <w:r>
        <w:rPr>
          <w:rStyle w:val="NormalTok"/>
        </w:rPr>
        <w:t xml:space="preserve">    events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SXCPEvent</w:t>
      </w:r>
      <w:r>
        <w:rPr>
          <w:rStyle w:val="OperatorTok"/>
        </w:rPr>
        <w:t xml:space="preserve">&gt;,</w:t>
      </w:r>
      <w:r>
        <w:br/>
      </w:r>
      <w:r>
        <w:rPr>
          <w:rStyle w:val="NormalTok"/>
        </w:rPr>
        <w:t xml:space="preserve">    finality_delay</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NormalTok"/>
        </w:rPr>
        <w:t xml:space="preserve">    witness_count</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SXCPEvent </w:t>
      </w:r>
      <w:r>
        <w:rPr>
          <w:rStyle w:val="OperatorTok"/>
        </w:rPr>
        <w:t xml:space="preserve">{</w:t>
      </w:r>
      <w:r>
        <w:br/>
      </w:r>
      <w:r>
        <w:rPr>
          <w:rStyle w:val="NormalTok"/>
        </w:rPr>
        <w:t xml:space="preserve">    event_type</w:t>
      </w:r>
      <w:r>
        <w:rPr>
          <w:rStyle w:val="OperatorTok"/>
        </w:rPr>
        <w:t xml:space="preserve">:</w:t>
      </w:r>
      <w:r>
        <w:rPr>
          <w:rStyle w:val="NormalTok"/>
        </w:rPr>
        <w:t xml:space="preserve"> EventType</w:t>
      </w:r>
      <w:r>
        <w:rPr>
          <w:rStyle w:val="OperatorTok"/>
        </w:rPr>
        <w:t xml:space="preserve">,</w:t>
      </w:r>
      <w:r>
        <w:br/>
      </w:r>
      <w:r>
        <w:rPr>
          <w:rStyle w:val="NormalTok"/>
        </w:rPr>
        <w:t xml:space="preserve">    tx_hash</w:t>
      </w:r>
      <w:r>
        <w:rPr>
          <w:rStyle w:val="OperatorTok"/>
        </w:rPr>
        <w:t xml:space="preserve">:</w:t>
      </w:r>
      <w:r>
        <w:rPr>
          <w:rStyle w:val="NormalTok"/>
        </w:rPr>
        <w:t xml:space="preserve"> Hash256</w:t>
      </w:r>
      <w:r>
        <w:rPr>
          <w:rStyle w:val="OperatorTok"/>
        </w:rPr>
        <w:t xml:space="preserve">,</w:t>
      </w:r>
      <w:r>
        <w:br/>
      </w:r>
      <w:r>
        <w:rPr>
          <w:rStyle w:val="NormalTok"/>
        </w:rPr>
        <w:t xml:space="preserve">    from</w:t>
      </w:r>
      <w:r>
        <w:rPr>
          <w:rStyle w:val="OperatorTok"/>
        </w:rPr>
        <w:t xml:space="preserve">:</w:t>
      </w:r>
      <w:r>
        <w:rPr>
          <w:rStyle w:val="NormalTok"/>
        </w:rPr>
        <w:t xml:space="preserve"> Address</w:t>
      </w:r>
      <w:r>
        <w:rPr>
          <w:rStyle w:val="OperatorTok"/>
        </w:rPr>
        <w:t xml:space="preserve">,</w:t>
      </w:r>
      <w:r>
        <w:br/>
      </w:r>
      <w:r>
        <w:rPr>
          <w:rStyle w:val="NormalTok"/>
        </w:rPr>
        <w:t xml:space="preserve">    to</w:t>
      </w:r>
      <w:r>
        <w:rPr>
          <w:rStyle w:val="OperatorTok"/>
        </w:rPr>
        <w:t xml:space="preserve">:</w:t>
      </w:r>
      <w:r>
        <w:rPr>
          <w:rStyle w:val="NormalTok"/>
        </w:rPr>
        <w:t xml:space="preserve"> UMA</w:t>
      </w:r>
      <w:r>
        <w:rPr>
          <w:rStyle w:val="OperatorTok"/>
        </w:rPr>
        <w:t xml:space="preserve">,</w:t>
      </w:r>
      <w:r>
        <w:br/>
      </w:r>
      <w:r>
        <w:rPr>
          <w:rStyle w:val="NormalTok"/>
        </w:rPr>
        <w:t xml:space="preserve">    amount</w:t>
      </w:r>
      <w:r>
        <w:rPr>
          <w:rStyle w:val="OperatorTok"/>
        </w:rPr>
        <w:t xml:space="preserve">:</w:t>
      </w:r>
      <w:r>
        <w:rPr>
          <w:rStyle w:val="NormalTok"/>
        </w:rPr>
        <w:t xml:space="preserve"> </w:t>
      </w:r>
      <w:r>
        <w:rPr>
          <w:rStyle w:val="DataTypeTok"/>
        </w:rPr>
        <w:t xml:space="preserve">u128</w:t>
      </w:r>
      <w:r>
        <w:rPr>
          <w:rStyle w:val="OperatorTok"/>
        </w:rPr>
        <w:t xml:space="preserve">,</w:t>
      </w:r>
      <w:r>
        <w:br/>
      </w:r>
      <w:r>
        <w:rPr>
          <w:rStyle w:val="NormalTok"/>
        </w:rPr>
        <w:t xml:space="preserve">    asset</w:t>
      </w:r>
      <w:r>
        <w:rPr>
          <w:rStyle w:val="OperatorTok"/>
        </w:rPr>
        <w:t xml:space="preserve">:</w:t>
      </w:r>
      <w:r>
        <w:rPr>
          <w:rStyle w:val="NormalTok"/>
        </w:rPr>
        <w:t xml:space="preserve"> AssetID</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u8</w:t>
      </w:r>
      <w:r>
        <w:rPr>
          <w:rStyle w:val="OperatorTok"/>
        </w:rPr>
        <w:t xml:space="preserve">&gt;,</w:t>
      </w:r>
      <w:r>
        <w:br/>
      </w:r>
      <w:r>
        <w:rPr>
          <w:rStyle w:val="OperatorTok"/>
        </w:rPr>
        <w:t xml:space="preserve">}</w:t>
      </w:r>
    </w:p>
    <w:p>
      <w:pPr>
        <w:pStyle w:val="FirstParagraph"/>
      </w:pPr>
      <w:r>
        <w:t xml:space="preserve">The parent_hash, tx_root and other digest fields are computed using</w:t>
      </w:r>
      <w:r>
        <w:t xml:space="preserve"> </w:t>
      </w:r>
      <w:r>
        <w:rPr>
          <w:bCs/>
          <w:b/>
        </w:rPr>
        <w:t xml:space="preserve">BLAKE3</w:t>
      </w:r>
      <w:r>
        <w:t xml:space="preserve"> </w:t>
      </w:r>
      <w:r>
        <w:t xml:space="preserve">to resist second‑preimage and length‑extension attacks. A canonical encoding combined with a domain separator (e.g. </w:t>
      </w:r>
      <w:r>
        <w:rPr>
          <w:rStyle w:val="VerbatimChar"/>
        </w:rPr>
        <w:t xml:space="preserve">"PoSy::BlockHeader"</w:t>
      </w:r>
      <w:r>
        <w:t xml:space="preserve">) ensures that distinct message types cannot be confused. The</w:t>
      </w:r>
      <w:r>
        <w:t xml:space="preserve"> </w:t>
      </w:r>
      <w:r>
        <w:rPr>
          <w:rStyle w:val="VerbatimChar"/>
        </w:rPr>
        <w:t xml:space="preserve">leader_sig</w:t>
      </w:r>
      <w:r>
        <w:t xml:space="preserve"> </w:t>
      </w:r>
      <w:r>
        <w:t xml:space="preserve">uses an Aegis signature and proves that the leader is the sole proposer for this round. Under no circumstance are external post‑quantum schemes such as Kyber, Dilithium, Falcon or SPHINCS+ employed【13084095401848†L247-L266】.</w:t>
      </w:r>
    </w:p>
    <w:bookmarkEnd w:id="20"/>
    <w:bookmarkStart w:id="21" w:name="Xb17284e305b2433511fc49483a0107625591ce0"/>
    <w:p>
      <w:pPr>
        <w:pStyle w:val="Heading2"/>
      </w:pPr>
      <w:r>
        <w:t xml:space="preserve">7.2 Vote Message and Quorum Certificate Format</w:t>
      </w:r>
    </w:p>
    <w:p>
      <w:pPr>
        <w:pStyle w:val="FirstParagraph"/>
      </w:pPr>
      <w:r>
        <w:t xml:space="preserve">Committee members cast votes during each consensus phase. A vote message includes basic consensus coordinates, the hash of the block being endorsed, and optional cross‑chain validation data:</w:t>
      </w:r>
    </w:p>
    <w:p>
      <w:pPr>
        <w:pStyle w:val="SourceCode"/>
      </w:pPr>
      <w:r>
        <w:rPr>
          <w:rStyle w:val="KeywordTok"/>
        </w:rPr>
        <w:t xml:space="preserve">enum</w:t>
      </w:r>
      <w:r>
        <w:rPr>
          <w:rStyle w:val="NormalTok"/>
        </w:rPr>
        <w:t xml:space="preserve"> ConsensusPhase </w:t>
      </w:r>
      <w:r>
        <w:rPr>
          <w:rStyle w:val="OperatorTok"/>
        </w:rPr>
        <w:t xml:space="preserve">{</w:t>
      </w:r>
      <w:r>
        <w:rPr>
          <w:rStyle w:val="NormalTok"/>
        </w:rPr>
        <w:t xml:space="preserve"> PREPARE</w:t>
      </w:r>
      <w:r>
        <w:rPr>
          <w:rStyle w:val="OperatorTok"/>
        </w:rPr>
        <w:t xml:space="preserve">,</w:t>
      </w:r>
      <w:r>
        <w:rPr>
          <w:rStyle w:val="NormalTok"/>
        </w:rPr>
        <w:t xml:space="preserve"> PRECOMMIT</w:t>
      </w:r>
      <w:r>
        <w:rPr>
          <w:rStyle w:val="OperatorTok"/>
        </w:rPr>
        <w:t xml:space="preserve">,</w:t>
      </w:r>
      <w:r>
        <w:rPr>
          <w:rStyle w:val="NormalTok"/>
        </w:rPr>
        <w:t xml:space="preserve"> COMMIT </w:t>
      </w:r>
      <w:r>
        <w:rPr>
          <w:rStyle w:val="OperatorTok"/>
        </w:rPr>
        <w:t xml:space="preserve">}</w:t>
      </w:r>
      <w:r>
        <w:br/>
      </w:r>
      <w:r>
        <w:br/>
      </w:r>
      <w:r>
        <w:rPr>
          <w:rStyle w:val="KeywordTok"/>
        </w:rPr>
        <w:t xml:space="preserve">struct</w:t>
      </w:r>
      <w:r>
        <w:rPr>
          <w:rStyle w:val="NormalTok"/>
        </w:rPr>
        <w:t xml:space="preserve"> Vote </w:t>
      </w:r>
      <w:r>
        <w:rPr>
          <w:rStyle w:val="OperatorTok"/>
        </w:rPr>
        <w:t xml:space="preserve">{</w:t>
      </w:r>
      <w:r>
        <w:br/>
      </w:r>
      <w:r>
        <w:rPr>
          <w:rStyle w:val="NormalTok"/>
        </w:rPr>
        <w:t xml:space="preserve">    phase</w:t>
      </w:r>
      <w:r>
        <w:rPr>
          <w:rStyle w:val="OperatorTok"/>
        </w:rPr>
        <w:t xml:space="preserve">:</w:t>
      </w:r>
      <w:r>
        <w:rPr>
          <w:rStyle w:val="NormalTok"/>
        </w:rPr>
        <w:t xml:space="preserve"> ConsensusPhase</w:t>
      </w:r>
      <w:r>
        <w:rPr>
          <w:rStyle w:val="OperatorTok"/>
        </w:rPr>
        <w:t xml:space="preserve">,</w:t>
      </w:r>
      <w:r>
        <w:br/>
      </w:r>
      <w:r>
        <w:rPr>
          <w:rStyle w:val="NormalTok"/>
        </w:rPr>
        <w:t xml:space="preserve">    block_hash</w:t>
      </w:r>
      <w:r>
        <w:rPr>
          <w:rStyle w:val="OperatorTok"/>
        </w:rPr>
        <w:t xml:space="preserve">:</w:t>
      </w:r>
      <w:r>
        <w:rPr>
          <w:rStyle w:val="NormalTok"/>
        </w:rPr>
        <w:t xml:space="preserve"> Hash256</w:t>
      </w:r>
      <w:r>
        <w:rPr>
          <w:rStyle w:val="OperatorTok"/>
        </w:rPr>
        <w:t xml:space="preserve">,</w:t>
      </w:r>
      <w:r>
        <w:br/>
      </w:r>
      <w:r>
        <w:rPr>
          <w:rStyle w:val="NormalTok"/>
        </w:rPr>
        <w:t xml:space="preserve">    epoch</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round</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validator_index</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NormalTok"/>
        </w:rPr>
        <w:t xml:space="preserve">    sxcp_validation</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SXCPVoteData</w:t>
      </w:r>
      <w:r>
        <w:rPr>
          <w:rStyle w:val="OperatorTok"/>
        </w:rPr>
        <w:t xml:space="preserve">&gt;,</w:t>
      </w:r>
      <w:r>
        <w:br/>
      </w:r>
      <w:r>
        <w:rPr>
          <w:rStyle w:val="NormalTok"/>
        </w:rPr>
        <w:t xml:space="preserve">    signature</w:t>
      </w:r>
      <w:r>
        <w:rPr>
          <w:rStyle w:val="OperatorTok"/>
        </w:rPr>
        <w:t xml:space="preserve">:</w:t>
      </w:r>
      <w:r>
        <w:rPr>
          <w:rStyle w:val="NormalTok"/>
        </w:rPr>
        <w:t xml:space="preserve"> AegisSignature</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SXCPVoteData </w:t>
      </w:r>
      <w:r>
        <w:rPr>
          <w:rStyle w:val="OperatorTok"/>
        </w:rPr>
        <w:t xml:space="preserve">{</w:t>
      </w:r>
      <w:r>
        <w:br/>
      </w:r>
      <w:r>
        <w:rPr>
          <w:rStyle w:val="NormalTok"/>
        </w:rPr>
        <w:t xml:space="preserve">    chains_verified</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ChainID</w:t>
      </w:r>
      <w:r>
        <w:rPr>
          <w:rStyle w:val="OperatorTok"/>
        </w:rPr>
        <w:t xml:space="preserve">&gt;,</w:t>
      </w:r>
      <w:r>
        <w:br/>
      </w:r>
      <w:r>
        <w:rPr>
          <w:rStyle w:val="NormalTok"/>
        </w:rPr>
        <w:t xml:space="preserve">    attestation_hashes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Hash256</w:t>
      </w:r>
      <w:r>
        <w:rPr>
          <w:rStyle w:val="OperatorTok"/>
        </w:rPr>
        <w:t xml:space="preserve">&gt;,</w:t>
      </w:r>
      <w:r>
        <w:br/>
      </w:r>
      <w:r>
        <w:rPr>
          <w:rStyle w:val="NormalTok"/>
        </w:rPr>
        <w:t xml:space="preserve">    witness_reports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WitnessReport</w:t>
      </w:r>
      <w:r>
        <w:rPr>
          <w:rStyle w:val="OperatorTok"/>
        </w:rPr>
        <w:t xml:space="preserve">&gt;,</w:t>
      </w:r>
      <w:r>
        <w:br/>
      </w:r>
      <w:r>
        <w:rPr>
          <w:rStyle w:val="OperatorTok"/>
        </w:rPr>
        <w:t xml:space="preserve">}</w:t>
      </w:r>
      <w:r>
        <w:br/>
      </w:r>
      <w:r>
        <w:br/>
      </w:r>
      <w:r>
        <w:rPr>
          <w:rStyle w:val="KeywordTok"/>
        </w:rPr>
        <w:t xml:space="preserve">struct</w:t>
      </w:r>
      <w:r>
        <w:rPr>
          <w:rStyle w:val="NormalTok"/>
        </w:rPr>
        <w:t xml:space="preserve"> WitnessReport </w:t>
      </w:r>
      <w:r>
        <w:rPr>
          <w:rStyle w:val="OperatorTok"/>
        </w:rPr>
        <w:t xml:space="preserve">{</w:t>
      </w:r>
      <w:r>
        <w:br/>
      </w:r>
      <w:r>
        <w:rPr>
          <w:rStyle w:val="NormalTok"/>
        </w:rPr>
        <w:t xml:space="preserve">    chain_id</w:t>
      </w:r>
      <w:r>
        <w:rPr>
          <w:rStyle w:val="OperatorTok"/>
        </w:rPr>
        <w:t xml:space="preserve">:</w:t>
      </w:r>
      <w:r>
        <w:rPr>
          <w:rStyle w:val="NormalTok"/>
        </w:rPr>
        <w:t xml:space="preserve"> ChainID</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state_root_match</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NormalTok"/>
        </w:rPr>
        <w:t xml:space="preserve">    event_match</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f32</w:t>
      </w:r>
      <w:r>
        <w:rPr>
          <w:rStyle w:val="OperatorTok"/>
        </w:rPr>
        <w:t xml:space="preserve">,</w:t>
      </w:r>
      <w:r>
        <w:br/>
      </w:r>
      <w:r>
        <w:rPr>
          <w:rStyle w:val="OperatorTok"/>
        </w:rPr>
        <w:t xml:space="preserve">}</w:t>
      </w:r>
    </w:p>
    <w:p>
      <w:pPr>
        <w:pStyle w:val="FirstParagraph"/>
      </w:pPr>
      <w:r>
        <w:t xml:space="preserve">Votes attest that the validator has validated the block’s structure, verified the parent QC, executed transactions and, when present, checked the SXCP checkpoint. A signature is produced using the validator’s Aegis private key and bound to the current phase. To resist equivocation, votes include the epoch and round; any conflicting vote reveals misbehavior.</w:t>
      </w:r>
    </w:p>
    <w:p>
      <w:pPr>
        <w:pStyle w:val="BodyText"/>
      </w:pPr>
      <w:r>
        <w:t xml:space="preserve">A</w:t>
      </w:r>
      <w:r>
        <w:t xml:space="preserve"> </w:t>
      </w:r>
      <w:r>
        <w:rPr>
          <w:bCs/>
          <w:b/>
        </w:rPr>
        <w:t xml:space="preserve">Quorum Certificate (QC)</w:t>
      </w:r>
      <w:r>
        <w:t xml:space="preserve"> </w:t>
      </w:r>
      <w:r>
        <w:t xml:space="preserve">aggregates a set of votes whose total normalized weight exceeds the weighted threshold. The QC structure includes a bit‑vector encoding signer indices, aggregated Aegis signatures (via aggregate signature scheme) and optional SXCP aggregation data:</w:t>
      </w:r>
    </w:p>
    <w:p>
      <w:pPr>
        <w:pStyle w:val="SourceCode"/>
      </w:pPr>
      <w:r>
        <w:rPr>
          <w:rStyle w:val="KeywordTok"/>
        </w:rPr>
        <w:t xml:space="preserve">struct</w:t>
      </w:r>
      <w:r>
        <w:rPr>
          <w:rStyle w:val="NormalTok"/>
        </w:rPr>
        <w:t xml:space="preserve"> QuorumCertificate </w:t>
      </w:r>
      <w:r>
        <w:rPr>
          <w:rStyle w:val="OperatorTok"/>
        </w:rPr>
        <w:t xml:space="preserve">{</w:t>
      </w:r>
      <w:r>
        <w:br/>
      </w:r>
      <w:r>
        <w:rPr>
          <w:rStyle w:val="NormalTok"/>
        </w:rPr>
        <w:t xml:space="preserve">    phase</w:t>
      </w:r>
      <w:r>
        <w:rPr>
          <w:rStyle w:val="OperatorTok"/>
        </w:rPr>
        <w:t xml:space="preserve">:</w:t>
      </w:r>
      <w:r>
        <w:rPr>
          <w:rStyle w:val="NormalTok"/>
        </w:rPr>
        <w:t xml:space="preserve"> ConsensusPhase</w:t>
      </w:r>
      <w:r>
        <w:rPr>
          <w:rStyle w:val="OperatorTok"/>
        </w:rPr>
        <w:t xml:space="preserve">,</w:t>
      </w:r>
      <w:r>
        <w:br/>
      </w:r>
      <w:r>
        <w:rPr>
          <w:rStyle w:val="NormalTok"/>
        </w:rPr>
        <w:t xml:space="preserve">    block_hash</w:t>
      </w:r>
      <w:r>
        <w:rPr>
          <w:rStyle w:val="OperatorTok"/>
        </w:rPr>
        <w:t xml:space="preserve">:</w:t>
      </w:r>
      <w:r>
        <w:rPr>
          <w:rStyle w:val="NormalTok"/>
        </w:rPr>
        <w:t xml:space="preserve"> Hash256</w:t>
      </w:r>
      <w:r>
        <w:rPr>
          <w:rStyle w:val="OperatorTok"/>
        </w:rPr>
        <w:t xml:space="preserve">,</w:t>
      </w:r>
      <w:r>
        <w:br/>
      </w:r>
      <w:r>
        <w:rPr>
          <w:rStyle w:val="NormalTok"/>
        </w:rPr>
        <w:t xml:space="preserve">    epoch</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round</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signers_bitmap</w:t>
      </w:r>
      <w:r>
        <w:rPr>
          <w:rStyle w:val="OperatorTok"/>
        </w:rPr>
        <w:t xml:space="preserve">:</w:t>
      </w:r>
      <w:r>
        <w:rPr>
          <w:rStyle w:val="NormalTok"/>
        </w:rPr>
        <w:t xml:space="preserve"> BitArray</w:t>
      </w:r>
      <w:r>
        <w:rPr>
          <w:rStyle w:val="OperatorTok"/>
        </w:rPr>
        <w:t xml:space="preserve">,</w:t>
      </w:r>
      <w:r>
        <w:rPr>
          <w:rStyle w:val="NormalTok"/>
        </w:rPr>
        <w:t xml:space="preserve">               </w:t>
      </w:r>
      <w:r>
        <w:rPr>
          <w:rStyle w:val="CommentTok"/>
        </w:rPr>
        <w:t xml:space="preserve">// 1 bit per committee member</w:t>
      </w:r>
      <w:r>
        <w:br/>
      </w:r>
      <w:r>
        <w:rPr>
          <w:rStyle w:val="NormalTok"/>
        </w:rPr>
        <w:t xml:space="preserve">    signatures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AegisSignature</w:t>
      </w:r>
      <w:r>
        <w:rPr>
          <w:rStyle w:val="OperatorTok"/>
        </w:rPr>
        <w:t xml:space="preserve">&gt;,</w:t>
      </w:r>
      <w:r>
        <w:rPr>
          <w:rStyle w:val="NormalTok"/>
        </w:rPr>
        <w:t xml:space="preserve">        </w:t>
      </w:r>
      <w:r>
        <w:rPr>
          <w:rStyle w:val="CommentTok"/>
        </w:rPr>
        <w:t xml:space="preserve">// Individual or aggregated</w:t>
      </w:r>
      <w:r>
        <w:br/>
      </w:r>
      <w:r>
        <w:rPr>
          <w:rStyle w:val="NormalTok"/>
        </w:rPr>
        <w:t xml:space="preserve">    weight_sum</w:t>
      </w:r>
      <w:r>
        <w:rPr>
          <w:rStyle w:val="OperatorTok"/>
        </w:rPr>
        <w:t xml:space="preserve">:</w:t>
      </w:r>
      <w:r>
        <w:rPr>
          <w:rStyle w:val="NormalTok"/>
        </w:rPr>
        <w:t xml:space="preserve"> </w:t>
      </w:r>
      <w:r>
        <w:rPr>
          <w:rStyle w:val="DataTypeTok"/>
        </w:rPr>
        <w:t xml:space="preserve">u128</w:t>
      </w:r>
      <w:r>
        <w:rPr>
          <w:rStyle w:val="OperatorTok"/>
        </w:rPr>
        <w:t xml:space="preserve">,</w:t>
      </w:r>
      <w:r>
        <w:rPr>
          <w:rStyle w:val="NormalTok"/>
        </w:rPr>
        <w:t xml:space="preserve">                       </w:t>
      </w:r>
      <w:r>
        <w:rPr>
          <w:rStyle w:val="CommentTok"/>
        </w:rPr>
        <w:t xml:space="preserve">// Sum of normalized weights</w:t>
      </w:r>
      <w:r>
        <w:br/>
      </w:r>
      <w:r>
        <w:rPr>
          <w:rStyle w:val="NormalTok"/>
        </w:rPr>
        <w:t xml:space="preserve">    aggregate_pubkey</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PublicKey</w:t>
      </w:r>
      <w:r>
        <w:rPr>
          <w:rStyle w:val="OperatorTok"/>
        </w:rPr>
        <w:t xml:space="preserve">&gt;,</w:t>
      </w:r>
      <w:r>
        <w:rPr>
          <w:rStyle w:val="NormalTok"/>
        </w:rPr>
        <w:t xml:space="preserve">    </w:t>
      </w:r>
      <w:r>
        <w:rPr>
          <w:rStyle w:val="CommentTok"/>
        </w:rPr>
        <w:t xml:space="preserve">// For aggregated verification</w:t>
      </w:r>
      <w:r>
        <w:br/>
      </w:r>
      <w:r>
        <w:rPr>
          <w:rStyle w:val="NormalTok"/>
        </w:rPr>
        <w:t xml:space="preserve">    sxcp_consensus</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SXCPConsensusData</w:t>
      </w:r>
      <w:r>
        <w:rPr>
          <w:rStyle w:val="OperatorTok"/>
        </w:rPr>
        <w:t xml:space="preserve">&gt;,</w:t>
      </w:r>
      <w:r>
        <w:br/>
      </w:r>
      <w:r>
        <w:rPr>
          <w:rStyle w:val="OperatorTok"/>
        </w:rPr>
        <w:t xml:space="preserve">}</w:t>
      </w:r>
      <w:r>
        <w:br/>
      </w:r>
      <w:r>
        <w:br/>
      </w:r>
      <w:r>
        <w:rPr>
          <w:rStyle w:val="KeywordTok"/>
        </w:rPr>
        <w:t xml:space="preserve">struct</w:t>
      </w:r>
      <w:r>
        <w:rPr>
          <w:rStyle w:val="NormalTok"/>
        </w:rPr>
        <w:t xml:space="preserve"> SXCPConsensusData </w:t>
      </w:r>
      <w:r>
        <w:rPr>
          <w:rStyle w:val="OperatorTok"/>
        </w:rPr>
        <w:t xml:space="preserve">{</w:t>
      </w:r>
      <w:r>
        <w:br/>
      </w:r>
      <w:r>
        <w:rPr>
          <w:rStyle w:val="NormalTok"/>
        </w:rPr>
        <w:t xml:space="preserve">    chains_with_quorum</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ChainID</w:t>
      </w:r>
      <w:r>
        <w:rPr>
          <w:rStyle w:val="OperatorTok"/>
        </w:rPr>
        <w:t xml:space="preserve">&gt;,</w:t>
      </w:r>
      <w:r>
        <w:br/>
      </w:r>
      <w:r>
        <w:rPr>
          <w:rStyle w:val="NormalTok"/>
        </w:rPr>
        <w:t xml:space="preserve">    per_chain_confidence</w:t>
      </w:r>
      <w:r>
        <w:rPr>
          <w:rStyle w:val="OperatorTok"/>
        </w:rPr>
        <w:t xml:space="preserve">:</w:t>
      </w:r>
      <w:r>
        <w:rPr>
          <w:rStyle w:val="NormalTok"/>
        </w:rPr>
        <w:t xml:space="preserve"> HashMap</w:t>
      </w:r>
      <w:r>
        <w:rPr>
          <w:rStyle w:val="OperatorTok"/>
        </w:rPr>
        <w:t xml:space="preserve">&lt;</w:t>
      </w:r>
      <w:r>
        <w:rPr>
          <w:rStyle w:val="NormalTok"/>
        </w:rPr>
        <w:t xml:space="preserve">ChainID</w:t>
      </w:r>
      <w:r>
        <w:rPr>
          <w:rStyle w:val="OperatorTok"/>
        </w:rPr>
        <w:t xml:space="preserve">,</w:t>
      </w:r>
      <w:r>
        <w:rPr>
          <w:rStyle w:val="NormalTok"/>
        </w:rPr>
        <w:t xml:space="preserve"> </w:t>
      </w:r>
      <w:r>
        <w:rPr>
          <w:rStyle w:val="DataTypeTok"/>
        </w:rPr>
        <w:t xml:space="preserve">f32</w:t>
      </w:r>
      <w:r>
        <w:rPr>
          <w:rStyle w:val="OperatorTok"/>
        </w:rPr>
        <w:t xml:space="preserve">&gt;,</w:t>
      </w:r>
      <w:r>
        <w:br/>
      </w:r>
      <w:r>
        <w:rPr>
          <w:rStyle w:val="NormalTok"/>
        </w:rPr>
        <w:t xml:space="preserve">    dissenters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ValidatorID</w:t>
      </w:r>
      <w:r>
        <w:rPr>
          <w:rStyle w:val="OperatorTok"/>
        </w:rPr>
        <w:t xml:space="preserve">&gt;,</w:t>
      </w:r>
      <w:r>
        <w:br/>
      </w:r>
      <w:r>
        <w:rPr>
          <w:rStyle w:val="OperatorTok"/>
        </w:rPr>
        <w:t xml:space="preserve">}</w:t>
      </w:r>
    </w:p>
    <w:p>
      <w:pPr>
        <w:pStyle w:val="FirstParagraph"/>
      </w:pPr>
      <w:r>
        <w:t xml:space="preserve">The</w:t>
      </w:r>
      <w:r>
        <w:t xml:space="preserve"> </w:t>
      </w:r>
      <w:r>
        <w:rPr>
          <w:rStyle w:val="VerbatimChar"/>
        </w:rPr>
        <w:t xml:space="preserve">signers_bitmap</w:t>
      </w:r>
      <w:r>
        <w:t xml:space="preserve"> </w:t>
      </w:r>
      <w:r>
        <w:t xml:space="preserve">provides a compact presence proof, reducing bandwidth from O(m) validator IDs to O(m) bits. The</w:t>
      </w:r>
      <w:r>
        <w:t xml:space="preserve"> </w:t>
      </w:r>
      <w:r>
        <w:rPr>
          <w:rStyle w:val="VerbatimChar"/>
        </w:rPr>
        <w:t xml:space="preserve">weight_sum</w:t>
      </w:r>
      <w:r>
        <w:t xml:space="preserve"> </w:t>
      </w:r>
      <w:r>
        <w:t xml:space="preserve">stores the sum of normalized validator weights (see §2) for threshold checking. A QC is valid when</w:t>
      </w:r>
      <w:r>
        <w:t xml:space="preserve"> </w:t>
      </w:r>
      <w:r>
        <w:rPr>
          <w:rStyle w:val="VerbatimChar"/>
        </w:rPr>
        <w:t xml:space="preserve">weight_sum ≥ 2f + 1</w:t>
      </w:r>
      <w:r>
        <w:t xml:space="preserve"> </w:t>
      </w:r>
      <w:r>
        <w:t xml:space="preserve">for commit and precommit phases, where</w:t>
      </w:r>
      <w:r>
        <w:t xml:space="preserve"> </w:t>
      </w:r>
      <w:r>
        <w:rPr>
          <w:rStyle w:val="VerbatimChar"/>
        </w:rPr>
        <w:t xml:space="preserve">f</w:t>
      </w:r>
      <w:r>
        <w:t xml:space="preserve"> </w:t>
      </w:r>
      <w:r>
        <w:t xml:space="preserve">is the maximum tolerated Byzantine weight. When SXCP data is included, the QC also records which external chains achieved a cross‑chain quorum and the mean confidence of witness reports.</w:t>
      </w:r>
    </w:p>
    <w:bookmarkEnd w:id="21"/>
    <w:bookmarkStart w:id="22" w:name="data-availability-and-byte-budget"/>
    <w:p>
      <w:pPr>
        <w:pStyle w:val="Heading2"/>
      </w:pPr>
      <w:r>
        <w:t xml:space="preserve">7.3 Data Availability and Byte Budget</w:t>
      </w:r>
    </w:p>
    <w:p>
      <w:pPr>
        <w:pStyle w:val="FirstParagraph"/>
      </w:pPr>
      <w:r>
        <w:t xml:space="preserve">Ensuring data availability (DA) is central to preventing censorship and state fraud. PoSy separates consensus metadata from full block content; only digests appear on‑chain, while full transactions and state updates are made available via sampling networks or off‑chain storage. The table below estimates the byte budget for a typical QC in PoSy using Aegis signatures (32 bytes each) and a committee of 150 weighted validators:</w:t>
      </w:r>
    </w:p>
    <w:tbl>
      <w:tblPr>
        <w:tblStyle w:val="Table"/>
        <w:tblW w:type="pct" w:w="5000"/>
        <w:tblLook w:firstRow="1" w:lastRow="0" w:firstColumn="0" w:lastColumn="0" w:noHBand="0" w:noVBand="0" w:val="0020"/>
      </w:tblPr>
      <w:tblGrid>
        <w:gridCol w:w="2376"/>
        <w:gridCol w:w="3168"/>
        <w:gridCol w:w="2376"/>
      </w:tblGrid>
      <w:tr>
        <w:trPr>
          <w:tblHeader w:val="true"/>
        </w:trPr>
        <w:tc>
          <w:tcPr/>
          <w:p>
            <w:pPr>
              <w:pStyle w:val="Compact"/>
              <w:jc w:val="left"/>
            </w:pPr>
            <w:r>
              <w:t xml:space="preserve">Component</w:t>
            </w:r>
          </w:p>
        </w:tc>
        <w:tc>
          <w:tcPr/>
          <w:p>
            <w:pPr>
              <w:pStyle w:val="Compact"/>
              <w:jc w:val="right"/>
            </w:pPr>
            <w:r>
              <w:t xml:space="preserve">Size (bytes)</w:t>
            </w:r>
          </w:p>
        </w:tc>
        <w:tc>
          <w:tcPr/>
          <w:p>
            <w:pPr>
              <w:pStyle w:val="Compact"/>
              <w:jc w:val="left"/>
            </w:pPr>
            <w:r>
              <w:t xml:space="preserve">Explanation</w:t>
            </w:r>
          </w:p>
        </w:tc>
      </w:tr>
      <w:tr>
        <w:tc>
          <w:tcPr/>
          <w:p>
            <w:pPr>
              <w:pStyle w:val="Compact"/>
              <w:jc w:val="left"/>
            </w:pPr>
            <w:r>
              <w:t xml:space="preserve">QC header fields (phase, block_hash, epoch, round)</w:t>
            </w:r>
          </w:p>
        </w:tc>
        <w:tc>
          <w:tcPr/>
          <w:p>
            <w:pPr>
              <w:pStyle w:val="Compact"/>
              <w:jc w:val="right"/>
            </w:pPr>
            <w:r>
              <w:t xml:space="preserve">8 + 32 + 8 + 8 = 56</w:t>
            </w:r>
          </w:p>
        </w:tc>
        <w:tc>
          <w:tcPr/>
          <w:p>
            <w:pPr>
              <w:pStyle w:val="Compact"/>
              <w:jc w:val="left"/>
            </w:pPr>
            <w:r>
              <w:t xml:space="preserve">Phase (1 byte), padded; block hash; 64‑bit counters</w:t>
            </w:r>
          </w:p>
        </w:tc>
      </w:tr>
      <w:tr>
        <w:tc>
          <w:tcPr/>
          <w:p>
            <w:pPr>
              <w:pStyle w:val="Compact"/>
              <w:jc w:val="left"/>
            </w:pPr>
            <w:r>
              <w:t xml:space="preserve">Signers bitmap</w:t>
            </w:r>
          </w:p>
        </w:tc>
        <w:tc>
          <w:tcPr/>
          <w:p>
            <w:pPr>
              <w:pStyle w:val="Compact"/>
              <w:jc w:val="right"/>
            </w:pPr>
            <w:r>
              <w:t xml:space="preserve">150 bits ≈ 19 bytes</w:t>
            </w:r>
          </w:p>
        </w:tc>
        <w:tc>
          <w:tcPr/>
          <w:p>
            <w:pPr>
              <w:pStyle w:val="Compact"/>
              <w:jc w:val="left"/>
            </w:pPr>
            <w:r>
              <w:t xml:space="preserve">One bit per committee member</w:t>
            </w:r>
          </w:p>
        </w:tc>
      </w:tr>
      <w:tr>
        <w:tc>
          <w:tcPr/>
          <w:p>
            <w:pPr>
              <w:pStyle w:val="Compact"/>
              <w:jc w:val="left"/>
            </w:pPr>
            <w:r>
              <w:t xml:space="preserve">Aegis signatures</w:t>
            </w:r>
          </w:p>
        </w:tc>
        <w:tc>
          <w:tcPr/>
          <w:p>
            <w:pPr>
              <w:pStyle w:val="Compact"/>
              <w:jc w:val="right"/>
            </w:pPr>
            <w:r>
              <w:t xml:space="preserve">150 × 32 = 4,800</w:t>
            </w:r>
          </w:p>
        </w:tc>
        <w:tc>
          <w:tcPr/>
          <w:p>
            <w:pPr>
              <w:pStyle w:val="Compact"/>
              <w:jc w:val="left"/>
            </w:pPr>
            <w:r>
              <w:t xml:space="preserve">One signature per vote (assuming no aggregation)</w:t>
            </w:r>
          </w:p>
        </w:tc>
      </w:tr>
      <w:tr>
        <w:tc>
          <w:tcPr/>
          <w:p>
            <w:pPr>
              <w:pStyle w:val="Compact"/>
              <w:jc w:val="left"/>
            </w:pPr>
            <w:r>
              <w:t xml:space="preserve">Weight sum</w:t>
            </w:r>
          </w:p>
        </w:tc>
        <w:tc>
          <w:tcPr/>
          <w:p>
            <w:pPr>
              <w:pStyle w:val="Compact"/>
              <w:jc w:val="right"/>
            </w:pPr>
            <w:r>
              <w:t xml:space="preserve">16</w:t>
            </w:r>
          </w:p>
        </w:tc>
        <w:tc>
          <w:tcPr/>
          <w:p>
            <w:pPr>
              <w:pStyle w:val="Compact"/>
              <w:jc w:val="left"/>
            </w:pPr>
            <w:r>
              <w:t xml:space="preserve">128‑bit accumulator</w:t>
            </w:r>
          </w:p>
        </w:tc>
      </w:tr>
      <w:tr>
        <w:tc>
          <w:tcPr/>
          <w:p>
            <w:pPr>
              <w:pStyle w:val="Compact"/>
              <w:jc w:val="left"/>
            </w:pPr>
            <w:r>
              <w:t xml:space="preserve">Aggregate pubkey</w:t>
            </w:r>
          </w:p>
        </w:tc>
        <w:tc>
          <w:tcPr/>
          <w:p>
            <w:pPr>
              <w:pStyle w:val="Compact"/>
              <w:jc w:val="right"/>
            </w:pPr>
            <w:r>
              <w:t xml:space="preserve">0 or 48</w:t>
            </w:r>
          </w:p>
        </w:tc>
        <w:tc>
          <w:tcPr/>
          <w:p>
            <w:pPr>
              <w:pStyle w:val="Compact"/>
              <w:jc w:val="left"/>
            </w:pPr>
            <w:r>
              <w:t xml:space="preserve">Only when using aggregated verification</w:t>
            </w:r>
          </w:p>
        </w:tc>
      </w:tr>
      <w:tr>
        <w:tc>
          <w:tcPr/>
          <w:p>
            <w:pPr>
              <w:pStyle w:val="Compact"/>
              <w:jc w:val="left"/>
            </w:pPr>
            <w:r>
              <w:t xml:space="preserve">SXCP data</w:t>
            </w:r>
          </w:p>
        </w:tc>
        <w:tc>
          <w:tcPr/>
          <w:p>
            <w:pPr>
              <w:pStyle w:val="Compact"/>
              <w:jc w:val="right"/>
            </w:pPr>
            <w:r>
              <w:t xml:space="preserve">~100</w:t>
            </w:r>
          </w:p>
        </w:tc>
        <w:tc>
          <w:tcPr/>
          <w:p>
            <w:pPr>
              <w:pStyle w:val="Compact"/>
              <w:jc w:val="left"/>
            </w:pPr>
            <w:r>
              <w:t xml:space="preserve">Chain IDs, confidence floats, dissenters</w:t>
            </w:r>
          </w:p>
        </w:tc>
      </w:tr>
      <w:tr>
        <w:tc>
          <w:tcPr/>
          <w:p>
            <w:pPr>
              <w:pStyle w:val="Compact"/>
              <w:jc w:val="left"/>
            </w:pPr>
            <w:r>
              <w:rPr>
                <w:bCs/>
                <w:b/>
              </w:rPr>
              <w:t xml:space="preserve">Total (approx)</w:t>
            </w:r>
          </w:p>
        </w:tc>
        <w:tc>
          <w:tcPr/>
          <w:p>
            <w:pPr>
              <w:pStyle w:val="Compact"/>
              <w:jc w:val="right"/>
            </w:pPr>
            <w:r>
              <w:rPr>
                <w:bCs/>
                <w:b/>
              </w:rPr>
              <w:t xml:space="preserve">~5 Kb</w:t>
            </w:r>
          </w:p>
        </w:tc>
        <w:tc>
          <w:tcPr/>
          <w:p>
            <w:pPr>
              <w:pStyle w:val="Compact"/>
              <w:jc w:val="left"/>
            </w:pPr>
            <w:r>
              <w:t xml:space="preserve">Without chain‑specific optional data</w:t>
            </w:r>
          </w:p>
        </w:tc>
      </w:tr>
    </w:tbl>
    <w:p>
      <w:pPr>
        <w:pStyle w:val="BodyText"/>
      </w:pPr>
      <w:r>
        <w:t xml:space="preserve">In practice, aggregate signature schemes and signature batching can reduce the signature portion to ~64–128 bytes. The</w:t>
      </w:r>
      <w:r>
        <w:t xml:space="preserve"> </w:t>
      </w:r>
      <w:r>
        <w:rPr>
          <w:rStyle w:val="VerbatimChar"/>
        </w:rPr>
        <w:t xml:space="preserve">sxcp_checkpoint</w:t>
      </w:r>
      <w:r>
        <w:t xml:space="preserve"> </w:t>
      </w:r>
      <w:r>
        <w:t xml:space="preserve">within the block header can be significantly larger due to external chain events and proofs; these are only included in checkpoint rounds (e.g., every 100 blocks). Data availability sampling is delegated to</w:t>
      </w:r>
      <w:r>
        <w:t xml:space="preserve"> </w:t>
      </w:r>
      <w:r>
        <w:rPr>
          <w:bCs/>
          <w:b/>
        </w:rPr>
        <w:t xml:space="preserve">Data Availability (DA) verifiers</w:t>
      </w:r>
      <w:r>
        <w:t xml:space="preserve"> </w:t>
      </w:r>
      <w:r>
        <w:t xml:space="preserve">(see §20), and block builders must ensure that full transaction data remains retrievable until finalization.</w:t>
      </w:r>
    </w:p>
    <w:bookmarkEnd w:id="22"/>
    <w:bookmarkStart w:id="23" w:name="antimalleability-and-determinism"/>
    <w:p>
      <w:pPr>
        <w:pStyle w:val="Heading2"/>
      </w:pPr>
      <w:r>
        <w:t xml:space="preserve">7.4 Anti‑Malleability and Determinism</w:t>
      </w:r>
    </w:p>
    <w:p>
      <w:pPr>
        <w:pStyle w:val="FirstParagraph"/>
      </w:pPr>
      <w:r>
        <w:t xml:space="preserve">All consensus and SXCP messages are domain‑separated and hashed with</w:t>
      </w:r>
      <w:r>
        <w:t xml:space="preserve"> </w:t>
      </w:r>
      <w:r>
        <w:rPr>
          <w:bCs/>
          <w:b/>
        </w:rPr>
        <w:t xml:space="preserve">BLAKE3</w:t>
      </w:r>
      <w:r>
        <w:t xml:space="preserve">, ensuring that there is exactly one canonical representation of each data structure. Each struct definition includes a domain tag (e.g.,</w:t>
      </w:r>
      <w:r>
        <w:t xml:space="preserve"> </w:t>
      </w:r>
      <w:r>
        <w:rPr>
          <w:rStyle w:val="VerbatimChar"/>
        </w:rPr>
        <w:t xml:space="preserve">"Vote::COMMIT"</w:t>
      </w:r>
      <w:r>
        <w:t xml:space="preserve">) which feeds into the hash. This prevents signature replay across different phases or message types. The use of Aegis PQC primitives eliminates dependency on non‑quantum‑safe algorithms and ensures forward security. All cross‑references to notation variables (e.g., Δ, GST, weight normalization factors) refer to §2 Notation Reference Guide, and cryptographic citations appear in §22 References.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2025-10-17T07:06:36Z</dcterms:created>
  <dcterms:modified xsi:type="dcterms:W3CDTF">2025-10-17T07:06:36Z</dcterms:modified>
</cp:coreProperties>
</file>

<file path=docProps/custom.xml><?xml version="1.0" encoding="utf-8"?>
<Properties xmlns="http://schemas.openxmlformats.org/officeDocument/2006/custom-properties" xmlns:vt="http://schemas.openxmlformats.org/officeDocument/2006/docPropsVTypes"/>
</file>