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lashing-conditions-and-evidence"/>
    <w:p>
      <w:pPr>
        <w:pStyle w:val="Heading1"/>
      </w:pPr>
      <w:r>
        <w:t xml:space="preserve">9 Slashing Conditions and Evidence</w:t>
      </w:r>
    </w:p>
    <w:p>
      <w:pPr>
        <w:pStyle w:val="FirstParagraph"/>
      </w:pPr>
      <w:r>
        <w:t xml:space="preserve">Slashing deters misbehavior by imposing economic penalties on validators who violate consensus rules or mis‑attest to SXCP events. Slashing operates via</w:t>
      </w:r>
      <w:r>
        <w:t xml:space="preserve"> </w:t>
      </w:r>
      <w:r>
        <w:rPr>
          <w:bCs/>
          <w:b/>
        </w:rPr>
        <w:t xml:space="preserve">evidence objects</w:t>
      </w:r>
      <w:r>
        <w:t xml:space="preserve"> </w:t>
      </w:r>
      <w:r>
        <w:t xml:space="preserve">that are broadcast to all participants and verified on‑chain. Once validated, the offending validator’s stake and bonded collateral are reduced, and a portion is paid to the evidence submitter (the</w:t>
      </w:r>
      <w:r>
        <w:t xml:space="preserve"> </w:t>
      </w:r>
      <w:r>
        <w:rPr>
          <w:iCs/>
          <w:i/>
        </w:rPr>
        <w:t xml:space="preserve">claimer</w:t>
      </w:r>
      <w:r>
        <w:t xml:space="preserve">). The remaining balance is burned or allocated to a community treasury.</w:t>
      </w:r>
    </w:p>
    <w:bookmarkStart w:id="20" w:name="evidence-lifecycle"/>
    <w:p>
      <w:pPr>
        <w:pStyle w:val="Heading2"/>
      </w:pPr>
      <w:r>
        <w:t xml:space="preserve">9.1 Evidence Lifecycle</w:t>
      </w:r>
    </w:p>
    <w:p>
      <w:pPr>
        <w:pStyle w:val="FirstParagraph"/>
      </w:pPr>
      <w:r>
        <w:t xml:space="preserve">The lifecycle of a slashing case proceeds through four phases:</w:t>
      </w:r>
    </w:p>
    <w:p>
      <w:pPr>
        <w:numPr>
          <w:ilvl w:val="0"/>
          <w:numId w:val="1001"/>
        </w:numPr>
        <w:pStyle w:val="Compact"/>
      </w:pPr>
      <w:r>
        <w:rPr>
          <w:bCs/>
          <w:b/>
        </w:rPr>
        <w:t xml:space="preserve">Discovery:</w:t>
      </w:r>
      <w:r>
        <w:t xml:space="preserve"> </w:t>
      </w:r>
      <w:r>
        <w:t xml:space="preserve">A participant (watcher, validator or relayer) detects misbehavior such as double voting, equivocation, invalid signatures or censorship. For SXCP, cross‑chain witnesses monitor external chains and produce fraud proofs if the attested state or events do not match reality.</w:t>
      </w:r>
    </w:p>
    <w:p>
      <w:pPr>
        <w:numPr>
          <w:ilvl w:val="0"/>
          <w:numId w:val="1001"/>
        </w:numPr>
        <w:pStyle w:val="Compact"/>
      </w:pPr>
      <w:r>
        <w:rPr>
          <w:bCs/>
          <w:b/>
        </w:rPr>
        <w:t xml:space="preserve">Submission:</w:t>
      </w:r>
      <w:r>
        <w:t xml:space="preserve"> </w:t>
      </w:r>
      <w:r>
        <w:t xml:space="preserve">The claimant packages an</w:t>
      </w:r>
      <w:r>
        <w:t xml:space="preserve"> </w:t>
      </w:r>
      <w:r>
        <w:rPr>
          <w:bCs/>
          <w:b/>
        </w:rPr>
        <w:t xml:space="preserve">Evidence</w:t>
      </w:r>
      <w:r>
        <w:t xml:space="preserve"> </w:t>
      </w:r>
      <w:r>
        <w:t xml:space="preserve">object containing cryptographic proofs of misbehavior. Evidence must include: (a) the signed messages demonstrating conflict (e.g., two votes with different block hashes in the same phase), (b) Merkle proofs or cross‑chain data for SXCP misbehavior, (c) aggregated Aegis signatures to verify authenticity. Evidence is broadcast to validators and, if valid, attached to the next block.</w:t>
      </w:r>
    </w:p>
    <w:p>
      <w:pPr>
        <w:numPr>
          <w:ilvl w:val="0"/>
          <w:numId w:val="1001"/>
        </w:numPr>
        <w:pStyle w:val="Compact"/>
      </w:pPr>
      <w:r>
        <w:rPr>
          <w:bCs/>
          <w:b/>
        </w:rPr>
        <w:t xml:space="preserve">Appeal:</w:t>
      </w:r>
      <w:r>
        <w:t xml:space="preserve"> </w:t>
      </w:r>
      <w:r>
        <w:t xml:space="preserve">The accused validator may respond during a bounded appeal period (e.g., three epochs). A failure to respond results in automatic guilt. Appeals are adjudicated by the consensus itself; no external authority is required. Evidence may be dismissed if it is malformed or stale. For SXCP misbehavior, proof that external chain data changed unexpectedly (e.g., reorg) may absolve the accused.</w:t>
      </w:r>
    </w:p>
    <w:p>
      <w:pPr>
        <w:numPr>
          <w:ilvl w:val="0"/>
          <w:numId w:val="1001"/>
        </w:numPr>
        <w:pStyle w:val="Compact"/>
      </w:pPr>
      <w:r>
        <w:rPr>
          <w:bCs/>
          <w:b/>
        </w:rPr>
        <w:t xml:space="preserve">Execution:</w:t>
      </w:r>
      <w:r>
        <w:t xml:space="preserve"> </w:t>
      </w:r>
      <w:r>
        <w:t xml:space="preserve">If evidence is confirmed and no valid appeal is submitted, the slashing penalty is executed. The validator’s stake is reduced by an amount proportional to the severity and recency of the misbehavior. A share (e.g., 20 %) is awarded to the claimant, while the remainder is burned or sent to a treasury. A slashed validator is removed from the active set until they top‑up stake and post a new bond.</w:t>
      </w:r>
    </w:p>
    <w:p>
      <w:pPr>
        <w:pStyle w:val="FirstParagraph"/>
      </w:pPr>
      <w:r>
        <w:t xml:space="preserve">The entire process is governed by deterministic rules codified in smart contracts. State machines for evidence handling are specified in pseudocode in §14.</w:t>
      </w:r>
    </w:p>
    <w:bookmarkEnd w:id="20"/>
    <w:bookmarkStart w:id="21" w:name="slashable-offences"/>
    <w:p>
      <w:pPr>
        <w:pStyle w:val="Heading2"/>
      </w:pPr>
      <w:r>
        <w:t xml:space="preserve">9.2 Slashable Offences</w:t>
      </w:r>
    </w:p>
    <w:p>
      <w:pPr>
        <w:pStyle w:val="FirstParagraph"/>
      </w:pPr>
      <w:r>
        <w:t xml:space="preserve">The following offences trigger slashing: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Offence</w:t>
            </w:r>
          </w:p>
        </w:tc>
        <w:tc>
          <w:tcPr/>
          <w:p>
            <w:pPr>
              <w:pStyle w:val="Compact"/>
              <w:jc w:val="left"/>
            </w:pPr>
            <w:r>
              <w:t xml:space="preserve">Description</w:t>
            </w:r>
          </w:p>
        </w:tc>
        <w:tc>
          <w:tcPr/>
          <w:p>
            <w:pPr>
              <w:pStyle w:val="Compact"/>
              <w:jc w:val="left"/>
            </w:pPr>
            <w:r>
              <w:t xml:space="preserve">Evidence Required</w:t>
            </w:r>
          </w:p>
        </w:tc>
      </w:tr>
      <w:tr>
        <w:tc>
          <w:tcPr/>
          <w:p>
            <w:pPr>
              <w:pStyle w:val="Compact"/>
              <w:jc w:val="left"/>
            </w:pPr>
            <w:r>
              <w:rPr>
                <w:bCs/>
                <w:b/>
              </w:rPr>
              <w:t xml:space="preserve">Equivocation</w:t>
            </w:r>
          </w:p>
        </w:tc>
        <w:tc>
          <w:tcPr/>
          <w:p>
            <w:pPr>
              <w:pStyle w:val="Compact"/>
              <w:jc w:val="left"/>
            </w:pPr>
            <w:r>
              <w:t xml:space="preserve">Signing two different blocks or votes for the same (epoch, round, phase).</w:t>
            </w:r>
          </w:p>
        </w:tc>
        <w:tc>
          <w:tcPr/>
          <w:p>
            <w:pPr>
              <w:pStyle w:val="Compact"/>
              <w:jc w:val="left"/>
            </w:pPr>
            <w:r>
              <w:t xml:space="preserve">Two conflicting signatures with identical metadata and distinct hashes.</w:t>
            </w:r>
          </w:p>
        </w:tc>
      </w:tr>
      <w:tr>
        <w:tc>
          <w:tcPr/>
          <w:p>
            <w:pPr>
              <w:pStyle w:val="Compact"/>
              <w:jc w:val="left"/>
            </w:pPr>
            <w:r>
              <w:rPr>
                <w:bCs/>
                <w:b/>
              </w:rPr>
              <w:t xml:space="preserve">Late vote</w:t>
            </w:r>
          </w:p>
        </w:tc>
        <w:tc>
          <w:tcPr/>
          <w:p>
            <w:pPr>
              <w:pStyle w:val="Compact"/>
              <w:jc w:val="left"/>
            </w:pPr>
            <w:r>
              <w:t xml:space="preserve">Failing to vote within the prescribed timeout window (Δ).</w:t>
            </w:r>
          </w:p>
        </w:tc>
        <w:tc>
          <w:tcPr/>
          <w:p>
            <w:pPr>
              <w:pStyle w:val="Compact"/>
              <w:jc w:val="left"/>
            </w:pPr>
            <w:r>
              <w:t xml:space="preserve">Absence of vote in the bitset; timestamp logs from quorum certificate.</w:t>
            </w:r>
          </w:p>
        </w:tc>
      </w:tr>
      <w:tr>
        <w:tc>
          <w:tcPr/>
          <w:p>
            <w:pPr>
              <w:pStyle w:val="Compact"/>
              <w:jc w:val="left"/>
            </w:pPr>
            <w:r>
              <w:rPr>
                <w:bCs/>
                <w:b/>
              </w:rPr>
              <w:t xml:space="preserve">Invalid vote</w:t>
            </w:r>
          </w:p>
        </w:tc>
        <w:tc>
          <w:tcPr/>
          <w:p>
            <w:pPr>
              <w:pStyle w:val="Compact"/>
              <w:jc w:val="left"/>
            </w:pPr>
            <w:r>
              <w:t xml:space="preserve">Voting for a block that is not built on the latest commit QC or has invalid state.</w:t>
            </w:r>
          </w:p>
        </w:tc>
        <w:tc>
          <w:tcPr/>
          <w:p>
            <w:pPr>
              <w:pStyle w:val="Compact"/>
              <w:jc w:val="left"/>
            </w:pPr>
            <w:r>
              <w:t xml:space="preserve">Signed vote referencing invalid parent; state proof.</w:t>
            </w:r>
          </w:p>
        </w:tc>
      </w:tr>
      <w:tr>
        <w:tc>
          <w:tcPr/>
          <w:p>
            <w:pPr>
              <w:pStyle w:val="Compact"/>
              <w:jc w:val="left"/>
            </w:pPr>
            <w:r>
              <w:rPr>
                <w:bCs/>
                <w:b/>
              </w:rPr>
              <w:t xml:space="preserve">Invalid Aegis signature</w:t>
            </w:r>
          </w:p>
        </w:tc>
        <w:tc>
          <w:tcPr/>
          <w:p>
            <w:pPr>
              <w:pStyle w:val="Compact"/>
              <w:jc w:val="left"/>
            </w:pPr>
            <w:r>
              <w:t xml:space="preserve">Producing a malformed or unverifiable signature.</w:t>
            </w:r>
          </w:p>
        </w:tc>
        <w:tc>
          <w:tcPr/>
          <w:p>
            <w:pPr>
              <w:pStyle w:val="Compact"/>
              <w:jc w:val="left"/>
            </w:pPr>
            <w:r>
              <w:t xml:space="preserve">Signature verification failure using public key and message.</w:t>
            </w:r>
          </w:p>
        </w:tc>
      </w:tr>
      <w:tr>
        <w:tc>
          <w:tcPr/>
          <w:p>
            <w:pPr>
              <w:pStyle w:val="Compact"/>
              <w:jc w:val="left"/>
            </w:pPr>
            <w:r>
              <w:rPr>
                <w:bCs/>
                <w:b/>
              </w:rPr>
              <w:t xml:space="preserve">SXCP mis‑signature</w:t>
            </w:r>
          </w:p>
        </w:tc>
        <w:tc>
          <w:tcPr/>
          <w:p>
            <w:pPr>
              <w:pStyle w:val="Compact"/>
              <w:jc w:val="left"/>
            </w:pPr>
            <w:r>
              <w:t xml:space="preserve">Signing an attestation that conflicts with external chain reality.</w:t>
            </w:r>
          </w:p>
        </w:tc>
        <w:tc>
          <w:tcPr/>
          <w:p>
            <w:pPr>
              <w:pStyle w:val="Compact"/>
              <w:jc w:val="left"/>
            </w:pPr>
            <w:r>
              <w:t xml:space="preserve">Mismatched state roots, duplicate events or incorrect finality delays; cross‑chain proof and corresponding Aegis signature.</w:t>
            </w:r>
          </w:p>
        </w:tc>
      </w:tr>
      <w:tr>
        <w:tc>
          <w:tcPr/>
          <w:p>
            <w:pPr>
              <w:pStyle w:val="Compact"/>
              <w:jc w:val="left"/>
            </w:pPr>
            <w:r>
              <w:rPr>
                <w:bCs/>
                <w:b/>
              </w:rPr>
              <w:t xml:space="preserve">Censorship</w:t>
            </w:r>
          </w:p>
        </w:tc>
        <w:tc>
          <w:tcPr/>
          <w:p>
            <w:pPr>
              <w:pStyle w:val="Compact"/>
              <w:jc w:val="left"/>
            </w:pPr>
            <w:r>
              <w:t xml:space="preserve">Deliberately ignoring valid transactions or SXCP events.</w:t>
            </w:r>
          </w:p>
        </w:tc>
        <w:tc>
          <w:tcPr/>
          <w:p>
            <w:pPr>
              <w:pStyle w:val="Compact"/>
              <w:jc w:val="left"/>
            </w:pPr>
            <w:r>
              <w:t xml:space="preserve">Proof of withheld events (e.g., deposit included in external chain but omitted in SXCP attestation), documented by watchers.</w:t>
            </w:r>
          </w:p>
        </w:tc>
      </w:tr>
    </w:tbl>
    <w:p>
      <w:pPr>
        <w:pStyle w:val="BodyText"/>
      </w:pPr>
      <w:r>
        <w:t xml:space="preserve">Penalties scale with the magnitude of harm. For example, equivocation in the PREPARE phase may forfeit 5 % of stake, whereas committing an invalid block may slash up to 100 %. SXCP mis‑signatures are slashed according to the value of cross‑chain assets affected.</w:t>
      </w:r>
    </w:p>
    <w:bookmarkEnd w:id="21"/>
    <w:bookmarkStart w:id="22" w:name="onchain-verifier-pseudocode"/>
    <w:p>
      <w:pPr>
        <w:pStyle w:val="Heading2"/>
      </w:pPr>
      <w:r>
        <w:t xml:space="preserve">9.3 On‑Chain Verifier Pseudocode</w:t>
      </w:r>
    </w:p>
    <w:p>
      <w:pPr>
        <w:pStyle w:val="FirstParagraph"/>
      </w:pPr>
      <w:r>
        <w:t xml:space="preserve">Below is simplified pseudocode for verifying equivocation evidence. A full PlusCal/TLA+ specification is provided in §14 and the state machine is cross‑referenced there.</w:t>
      </w:r>
    </w:p>
    <w:p>
      <w:pPr>
        <w:pStyle w:val="SourceCode"/>
      </w:pPr>
      <w:r>
        <w:rPr>
          <w:rStyle w:val="VerbatimChar"/>
        </w:rPr>
        <w:t xml:space="preserve">procedure verifyEquivocationEvidence(evidence):</w:t>
      </w:r>
      <w:r>
        <w:br/>
      </w:r>
      <w:r>
        <w:rPr>
          <w:rStyle w:val="VerbatimChar"/>
        </w:rPr>
        <w:t xml:space="preserve">    // evidence contains two signed messages msg1, msg2</w:t>
      </w:r>
      <w:r>
        <w:br/>
      </w:r>
      <w:r>
        <w:rPr>
          <w:rStyle w:val="VerbatimChar"/>
        </w:rPr>
        <w:t xml:space="preserve">    if evidence.type != EQUIVOCATION:</w:t>
      </w:r>
      <w:r>
        <w:br/>
      </w:r>
      <w:r>
        <w:rPr>
          <w:rStyle w:val="VerbatimChar"/>
        </w:rPr>
        <w:t xml:space="preserve">        return REJECT</w:t>
      </w:r>
      <w:r>
        <w:br/>
      </w:r>
      <w:r>
        <w:rPr>
          <w:rStyle w:val="VerbatimChar"/>
        </w:rPr>
        <w:t xml:space="preserve">    // ensure metadata matches</w:t>
      </w:r>
      <w:r>
        <w:br/>
      </w:r>
      <w:r>
        <w:rPr>
          <w:rStyle w:val="VerbatimChar"/>
        </w:rPr>
        <w:t xml:space="preserve">    if msg1.epoch != msg2.epoch or msg1.round != msg2.round or msg1.phase != msg2.phase:</w:t>
      </w:r>
      <w:r>
        <w:br/>
      </w:r>
      <w:r>
        <w:rPr>
          <w:rStyle w:val="VerbatimChar"/>
        </w:rPr>
        <w:t xml:space="preserve">        return REJECT</w:t>
      </w:r>
      <w:r>
        <w:br/>
      </w:r>
      <w:r>
        <w:rPr>
          <w:rStyle w:val="VerbatimChar"/>
        </w:rPr>
        <w:t xml:space="preserve">    if msg1.block_hash == msg2.block_hash:</w:t>
      </w:r>
      <w:r>
        <w:br/>
      </w:r>
      <w:r>
        <w:rPr>
          <w:rStyle w:val="VerbatimChar"/>
        </w:rPr>
        <w:t xml:space="preserve">        return REJECT // no conflict</w:t>
      </w:r>
      <w:r>
        <w:br/>
      </w:r>
      <w:r>
        <w:rPr>
          <w:rStyle w:val="VerbatimChar"/>
        </w:rPr>
        <w:t xml:space="preserve">    // verify signatures</w:t>
      </w:r>
      <w:r>
        <w:br/>
      </w:r>
      <w:r>
        <w:rPr>
          <w:rStyle w:val="VerbatimChar"/>
        </w:rPr>
        <w:t xml:space="preserve">    if not verifyAegisSignature(msg1.signature, msg1.hash(), msg1.pubkey):</w:t>
      </w:r>
      <w:r>
        <w:br/>
      </w:r>
      <w:r>
        <w:rPr>
          <w:rStyle w:val="VerbatimChar"/>
        </w:rPr>
        <w:t xml:space="preserve">        return REJECT</w:t>
      </w:r>
      <w:r>
        <w:br/>
      </w:r>
      <w:r>
        <w:rPr>
          <w:rStyle w:val="VerbatimChar"/>
        </w:rPr>
        <w:t xml:space="preserve">    if not verifyAegisSignature(msg2.signature, msg2.hash(), msg2.pubkey):</w:t>
      </w:r>
      <w:r>
        <w:br/>
      </w:r>
      <w:r>
        <w:rPr>
          <w:rStyle w:val="VerbatimChar"/>
        </w:rPr>
        <w:t xml:space="preserve">        return REJECT</w:t>
      </w:r>
      <w:r>
        <w:br/>
      </w:r>
      <w:r>
        <w:rPr>
          <w:rStyle w:val="VerbatimChar"/>
        </w:rPr>
        <w:t xml:space="preserve">    // ensure signers are the same validator</w:t>
      </w:r>
      <w:r>
        <w:br/>
      </w:r>
      <w:r>
        <w:rPr>
          <w:rStyle w:val="VerbatimChar"/>
        </w:rPr>
        <w:t xml:space="preserve">    if msg1.pubkey != msg2.pubkey:</w:t>
      </w:r>
      <w:r>
        <w:br/>
      </w:r>
      <w:r>
        <w:rPr>
          <w:rStyle w:val="VerbatimChar"/>
        </w:rPr>
        <w:t xml:space="preserve">        return REJECT</w:t>
      </w:r>
      <w:r>
        <w:br/>
      </w:r>
      <w:r>
        <w:rPr>
          <w:rStyle w:val="VerbatimChar"/>
        </w:rPr>
        <w:t xml:space="preserve">    // evidence is valid</w:t>
      </w:r>
      <w:r>
        <w:br/>
      </w:r>
      <w:r>
        <w:rPr>
          <w:rStyle w:val="VerbatimChar"/>
        </w:rPr>
        <w:t xml:space="preserve">    return ACCEPT</w:t>
      </w:r>
    </w:p>
    <w:p>
      <w:pPr>
        <w:pStyle w:val="FirstParagraph"/>
      </w:pPr>
      <w:r>
        <w:t xml:space="preserve">Similar verifiers exist for late votes (checking timestamps against Δ), invalid signatures (attempting to verify with Aegis), and SXCP mis‑signatures (cross‑chain proof comparison). All verifiers must be deterministic and reference the notation in §2 and parameter defaults in §12. Slashed funds are redistributed according to the reward distribution rules in §8. Externally defined cryptographic algorithms are strictly prohibited; only Aegis PQC primitives are used【13084095401848†L247-L266】.</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2025-10-17T07:06:37Z</dcterms:created>
  <dcterms:modified xsi:type="dcterms:W3CDTF">2025-10-17T07:06:37Z</dcterms:modified>
</cp:coreProperties>
</file>

<file path=docProps/custom.xml><?xml version="1.0" encoding="utf-8"?>
<Properties xmlns="http://schemas.openxmlformats.org/officeDocument/2006/custom-properties" xmlns:vt="http://schemas.openxmlformats.org/officeDocument/2006/docPropsVTypes"/>
</file>