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epoch-transitions"/>
    <w:p>
      <w:pPr>
        <w:pStyle w:val="Heading1"/>
      </w:pPr>
      <w:r>
        <w:t xml:space="preserve">11 Epoch Transitions</w:t>
      </w:r>
    </w:p>
    <w:p>
      <w:pPr>
        <w:pStyle w:val="FirstParagraph"/>
      </w:pPr>
      <w:r>
        <w:t xml:space="preserve">Consensus in PoSy proceeds in</w:t>
      </w:r>
      <w:r>
        <w:t xml:space="preserve"> </w:t>
      </w:r>
      <w:r>
        <w:rPr>
          <w:bCs/>
          <w:b/>
        </w:rPr>
        <w:t xml:space="preserve">epochs</w:t>
      </w:r>
      <w:r>
        <w:t xml:space="preserve">; at each epoch boundary the validator set, randomness beacon and committee sampling refresh. Properly handling epoch transitions is critical for both safety and liveness because validators may join or leave, stake weights change and new cryptographic keys are generated. This section defines the order of operations when moving from epoch E to epoch E+1.</w:t>
      </w:r>
    </w:p>
    <w:bookmarkStart w:id="20" w:name="transition-pipeline"/>
    <w:p>
      <w:pPr>
        <w:pStyle w:val="Heading2"/>
      </w:pPr>
      <w:r>
        <w:t xml:space="preserve">11.1 Transition Pipeline</w:t>
      </w:r>
    </w:p>
    <w:p>
      <w:pPr>
        <w:pStyle w:val="FirstParagraph"/>
      </w:pPr>
      <w:r>
        <w:t xml:space="preserve">The following ordered pipeline is executed at the end of each epoch:</w:t>
      </w:r>
    </w:p>
    <w:p>
      <w:pPr>
        <w:numPr>
          <w:ilvl w:val="0"/>
          <w:numId w:val="1001"/>
        </w:numPr>
        <w:pStyle w:val="Compact"/>
      </w:pPr>
      <w:r>
        <w:rPr>
          <w:bCs/>
          <w:b/>
        </w:rPr>
        <w:t xml:space="preserve">Finalize last block:</w:t>
      </w:r>
      <w:r>
        <w:t xml:space="preserve"> </w:t>
      </w:r>
      <w:r>
        <w:t xml:space="preserve">Finalize the last block of the current epoch using a COMMIT quorum certificate. No further blocks can be appended to the current epoch.</w:t>
      </w:r>
    </w:p>
    <w:p>
      <w:pPr>
        <w:numPr>
          <w:ilvl w:val="0"/>
          <w:numId w:val="1001"/>
        </w:numPr>
        <w:pStyle w:val="Compact"/>
      </w:pPr>
      <w:r>
        <w:rPr>
          <w:bCs/>
          <w:b/>
        </w:rPr>
        <w:t xml:space="preserve">Seal epoch state:</w:t>
      </w:r>
      <w:r>
        <w:t xml:space="preserve"> </w:t>
      </w:r>
      <w:r>
        <w:t xml:space="preserve">The final block stores a validator state snapshot, including stake balances, reputations, Synergy Scores and pending slashing evidence. This snapshot is hashed and recorded as the state root in the last block header.</w:t>
      </w:r>
    </w:p>
    <w:p>
      <w:pPr>
        <w:numPr>
          <w:ilvl w:val="0"/>
          <w:numId w:val="1001"/>
        </w:numPr>
        <w:pStyle w:val="Compact"/>
      </w:pPr>
      <w:r>
        <w:rPr>
          <w:bCs/>
          <w:b/>
        </w:rPr>
        <w:t xml:space="preserve">Aegis entropy beacon:</w:t>
      </w:r>
      <w:r>
        <w:t xml:space="preserve"> </w:t>
      </w:r>
      <w:r>
        <w:t xml:space="preserve">Immediately after sealing, validators collaboratively generate fresh randomness for the next epoch using the Aegis VRF and distributed key generation (DKG). If the DKG fails due to offline validators, the protocol falls back to a commit‑reveal scheme where validators publish commitments to random seeds and later reveal them. The combined randomness seeds leader and committee selection in the next epoch.</w:t>
      </w:r>
    </w:p>
    <w:p>
      <w:pPr>
        <w:numPr>
          <w:ilvl w:val="0"/>
          <w:numId w:val="1001"/>
        </w:numPr>
        <w:pStyle w:val="Compact"/>
      </w:pPr>
      <w:r>
        <w:rPr>
          <w:bCs/>
          <w:b/>
        </w:rPr>
        <w:t xml:space="preserve">Reshare keys:</w:t>
      </w:r>
      <w:r>
        <w:t xml:space="preserve"> </w:t>
      </w:r>
      <w:r>
        <w:t xml:space="preserve">Validators perform a key resharing protocol to derive new threshold keys for quorum certificate aggregation and SXCP multi‑signatures. Key shares are transmitted using the asynchronous gossip layer. Validators leaving the set reveal their shares to a secure escrow; new validators generate shares and prove correctness with zero‑knowledge proofs.</w:t>
      </w:r>
    </w:p>
    <w:p>
      <w:pPr>
        <w:numPr>
          <w:ilvl w:val="0"/>
          <w:numId w:val="1001"/>
        </w:numPr>
        <w:pStyle w:val="Compact"/>
      </w:pPr>
      <w:r>
        <w:rPr>
          <w:bCs/>
          <w:b/>
        </w:rPr>
        <w:t xml:space="preserve">Initialize next epoch:</w:t>
      </w:r>
      <w:r>
        <w:t xml:space="preserve"> </w:t>
      </w:r>
      <w:r>
        <w:t xml:space="preserve">Once randomness and keys are available, the new validator set is established. Consensus parameters (committee size, timeout factors, weight normalization) are recomputed based on total stake and Synergy Scores. The first round of the new epoch begins using the fresh randomness to select the leader.</w:t>
      </w:r>
    </w:p>
    <w:p>
      <w:pPr>
        <w:pStyle w:val="FirstParagraph"/>
      </w:pPr>
      <w:r>
        <w:t xml:space="preserve">If any sub‑step fails—e.g., too many validators offline for DKG—the protocol invokes the recovery plan described below. Observers can verify each step using the data embedded in the final block and cross‑reference with §2 notation.</w:t>
      </w:r>
    </w:p>
    <w:bookmarkEnd w:id="20"/>
    <w:bookmarkStart w:id="21" w:name="epochfrozen-fields"/>
    <w:p>
      <w:pPr>
        <w:pStyle w:val="Heading2"/>
      </w:pPr>
      <w:r>
        <w:t xml:space="preserve">11.2 Epoch‑Frozen Fields</w:t>
      </w:r>
    </w:p>
    <w:p>
      <w:pPr>
        <w:pStyle w:val="FirstParagraph"/>
      </w:pPr>
      <w:r>
        <w:t xml:space="preserve">Certain fields are</w:t>
      </w:r>
      <w:r>
        <w:t xml:space="preserve"> </w:t>
      </w:r>
      <w:r>
        <w:rPr>
          <w:bCs/>
          <w:b/>
        </w:rPr>
        <w:t xml:space="preserve">epoch‑frozen</w:t>
      </w:r>
      <w:r>
        <w:t xml:space="preserve">, meaning they cannot change mid‑epoch. These include:</w:t>
      </w:r>
    </w:p>
    <w:p>
      <w:pPr>
        <w:numPr>
          <w:ilvl w:val="0"/>
          <w:numId w:val="1002"/>
        </w:numPr>
        <w:pStyle w:val="Compact"/>
      </w:pPr>
      <w:r>
        <w:t xml:space="preserve">Stake balances and weight normalization factors. Stake changes (deposits, withdrawals) take effect at the next epoch boundary.</w:t>
      </w:r>
    </w:p>
    <w:p>
      <w:pPr>
        <w:numPr>
          <w:ilvl w:val="0"/>
          <w:numId w:val="1002"/>
        </w:numPr>
        <w:pStyle w:val="Compact"/>
      </w:pPr>
      <w:r>
        <w:t xml:space="preserve">Reputation scores and Synergy Score multipliers (other than punctuality) are updated at epoch boundaries.</w:t>
      </w:r>
    </w:p>
    <w:p>
      <w:pPr>
        <w:numPr>
          <w:ilvl w:val="0"/>
          <w:numId w:val="1002"/>
        </w:numPr>
        <w:pStyle w:val="Compact"/>
      </w:pPr>
      <w:r>
        <w:t xml:space="preserve">Committee size and quorum thresholds. Modifying these mid‑epoch could break safety assumptions.</w:t>
      </w:r>
    </w:p>
    <w:p>
      <w:pPr>
        <w:numPr>
          <w:ilvl w:val="0"/>
          <w:numId w:val="1002"/>
        </w:numPr>
        <w:pStyle w:val="Compact"/>
      </w:pPr>
      <w:r>
        <w:t xml:space="preserve">SXCP bonding amounts and external chain inclusion lists; changes are proposed via governance and enacted at the next epoch.</w:t>
      </w:r>
    </w:p>
    <w:p>
      <w:pPr>
        <w:pStyle w:val="FirstParagraph"/>
      </w:pPr>
      <w:r>
        <w:t xml:space="preserve">Immutable epoch boundaries allow validators to reason about quorums and thresholds without dynamic recalculation. They also reduce the complexity of on‑chain code and ensure reproducibility of consensus decisions.</w:t>
      </w:r>
    </w:p>
    <w:bookmarkEnd w:id="21"/>
    <w:bookmarkStart w:id="22" w:name="recovery-plan"/>
    <w:p>
      <w:pPr>
        <w:pStyle w:val="Heading2"/>
      </w:pPr>
      <w:r>
        <w:t xml:space="preserve">11.3 Recovery Plan</w:t>
      </w:r>
    </w:p>
    <w:p>
      <w:pPr>
        <w:pStyle w:val="FirstParagraph"/>
      </w:pPr>
      <w:r>
        <w:t xml:space="preserve">Should the standard transition pipeline fail, the following fallback mechanisms apply:</w:t>
      </w:r>
    </w:p>
    <w:p>
      <w:pPr>
        <w:numPr>
          <w:ilvl w:val="0"/>
          <w:numId w:val="1003"/>
        </w:numPr>
        <w:pStyle w:val="Compact"/>
      </w:pPr>
      <w:r>
        <w:rPr>
          <w:bCs/>
          <w:b/>
        </w:rPr>
        <w:t xml:space="preserve">DKG failure:</w:t>
      </w:r>
      <w:r>
        <w:t xml:space="preserve"> </w:t>
      </w:r>
      <w:r>
        <w:t xml:space="preserve">If fewer than n‑f validators participate in the Aegis DKG, validators switch to the commit‑reveal scheme. Each validator commits to a random seed hashed under BLAKE3, then reveals the seed. The seeds are concatenated and hashed to produce the next epoch’s randomness.</w:t>
      </w:r>
    </w:p>
    <w:p>
      <w:pPr>
        <w:numPr>
          <w:ilvl w:val="0"/>
          <w:numId w:val="1003"/>
        </w:numPr>
        <w:pStyle w:val="Compact"/>
      </w:pPr>
      <w:r>
        <w:rPr>
          <w:bCs/>
          <w:b/>
        </w:rPr>
        <w:t xml:space="preserve">Key resharing failure:</w:t>
      </w:r>
      <w:r>
        <w:t xml:space="preserve"> </w:t>
      </w:r>
      <w:r>
        <w:t xml:space="preserve">If key shares cannot be reshared (for example, due to a network partition), the protocol continues using the old threshold keys for one epoch while slashing non‑responsive validators. During this epoch, SXCP proofs rely on a separate signer set derived from the remaining honest validators.</w:t>
      </w:r>
    </w:p>
    <w:p>
      <w:pPr>
        <w:numPr>
          <w:ilvl w:val="0"/>
          <w:numId w:val="1003"/>
        </w:numPr>
        <w:pStyle w:val="Compact"/>
      </w:pPr>
      <w:r>
        <w:rPr>
          <w:bCs/>
          <w:b/>
        </w:rPr>
        <w:t xml:space="preserve">Stake churn or weight update failure:</w:t>
      </w:r>
      <w:r>
        <w:t xml:space="preserve"> </w:t>
      </w:r>
      <w:r>
        <w:t xml:space="preserve">A temporary freeze is applied to stake withdrawals and deposits until the next epoch. Emergency governance may be invoked (§26) to override parameters.</w:t>
      </w:r>
    </w:p>
    <w:p>
      <w:pPr>
        <w:pStyle w:val="FirstParagraph"/>
      </w:pPr>
      <w:r>
        <w:t xml:space="preserve">The recovery procedures are deterministic and require no off‑chain coordination. They are parameterized by the same variables used in the standard pipeline (f, n, randomness) and cross‑referenced in the notation guide (§2).</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2025-10-17T07:06:38Z</dcterms:created>
  <dcterms:modified xsi:type="dcterms:W3CDTF">2025-10-17T07:06:38Z</dcterms:modified>
</cp:coreProperties>
</file>

<file path=docProps/custom.xml><?xml version="1.0" encoding="utf-8"?>
<Properties xmlns="http://schemas.openxmlformats.org/officeDocument/2006/custom-properties" xmlns:vt="http://schemas.openxmlformats.org/officeDocument/2006/docPropsVTypes"/>
</file>