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tocol-parameters-and-tuning"/>
    <w:p>
      <w:pPr>
        <w:pStyle w:val="Heading1"/>
      </w:pPr>
      <w:r>
        <w:t xml:space="preserve">12 Protocol Parameters and Tuning</w:t>
      </w:r>
    </w:p>
    <w:p>
      <w:pPr>
        <w:pStyle w:val="FirstParagraph"/>
      </w:pPr>
      <w:r>
        <w:t xml:space="preserve">PoSy exposes several parameters that influence safety, liveness, throughput and hardware requirements. Operators must tune these parameters to achieve desired service level objectives (SLOs) such as finality time, block throughput, cross‑chain latency and storage overhead. This section summarizes key parameters and provides recommended defaults for an Aegis PQC deployment.</w:t>
      </w:r>
    </w:p>
    <w:bookmarkStart w:id="20" w:name="parameterslo-relationships"/>
    <w:p>
      <w:pPr>
        <w:pStyle w:val="Heading2"/>
      </w:pPr>
      <w:r>
        <w:t xml:space="preserve">12.1 Parameter–SLO Relationships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Impact on SLOs</w:t>
            </w:r>
          </w:p>
        </w:tc>
        <w:tc>
          <w:tcPr/>
          <w:p>
            <w:pPr>
              <w:pStyle w:val="Compact"/>
              <w:jc w:val="left"/>
            </w:pPr>
            <w:r>
              <w:t xml:space="preserve">Recommended Range</w:t>
            </w:r>
          </w:p>
        </w:tc>
      </w:tr>
      <w:tr>
        <w:tc>
          <w:tcPr/>
          <w:p>
            <w:pPr>
              <w:pStyle w:val="Compact"/>
              <w:jc w:val="left"/>
            </w:pPr>
            <w:r>
              <w:rPr>
                <w:bCs/>
                <w:b/>
              </w:rPr>
              <w:t xml:space="preserve">Committee size</w:t>
            </w:r>
            <w:r>
              <w:t xml:space="preserve"> </w:t>
            </w:r>
            <w:r>
              <w:t xml:space="preserve">(m)</w:t>
            </w:r>
          </w:p>
        </w:tc>
        <w:tc>
          <w:tcPr/>
          <w:p>
            <w:pPr>
              <w:pStyle w:val="Compact"/>
              <w:jc w:val="left"/>
            </w:pPr>
            <w:r>
              <w:t xml:space="preserve">Number of validators participating in a round.</w:t>
            </w:r>
          </w:p>
        </w:tc>
        <w:tc>
          <w:tcPr/>
          <w:p>
            <w:pPr>
              <w:pStyle w:val="Compact"/>
              <w:jc w:val="left"/>
            </w:pPr>
            <w:r>
              <w:t xml:space="preserve">Larger committees provide higher security against adaptive adversaries but increase QC size and latency.</w:t>
            </w:r>
          </w:p>
        </w:tc>
        <w:tc>
          <w:tcPr/>
          <w:p>
            <w:pPr>
              <w:pStyle w:val="Compact"/>
              <w:jc w:val="left"/>
            </w:pPr>
            <w:r>
              <w:t xml:space="preserve">100–300</w:t>
            </w:r>
          </w:p>
        </w:tc>
      </w:tr>
      <w:tr>
        <w:tc>
          <w:tcPr/>
          <w:p>
            <w:pPr>
              <w:pStyle w:val="Compact"/>
              <w:jc w:val="left"/>
            </w:pPr>
            <w:r>
              <w:rPr>
                <w:bCs/>
                <w:b/>
              </w:rPr>
              <w:t xml:space="preserve">Quorum threshold</w:t>
            </w:r>
            <w:r>
              <w:t xml:space="preserve"> </w:t>
            </w:r>
            <w:r>
              <w:t xml:space="preserve">(q)</w:t>
            </w:r>
          </w:p>
        </w:tc>
        <w:tc>
          <w:tcPr/>
          <w:p>
            <w:pPr>
              <w:pStyle w:val="Compact"/>
              <w:jc w:val="left"/>
            </w:pPr>
            <w:r>
              <w:t xml:space="preserve">Minimum cumulative normalized weight required for a QC (usually (2f+1)).</w:t>
            </w:r>
          </w:p>
        </w:tc>
        <w:tc>
          <w:tcPr/>
          <w:p>
            <w:pPr>
              <w:pStyle w:val="Compact"/>
              <w:jc w:val="left"/>
            </w:pPr>
            <w:r>
              <w:t xml:space="preserve">Higher threshold increases safety but may reduce liveness in highly skewed weight distributions.</w:t>
            </w:r>
          </w:p>
        </w:tc>
        <w:tc>
          <w:tcPr/>
          <w:p>
            <w:pPr>
              <w:pStyle w:val="Compact"/>
              <w:jc w:val="left"/>
            </w:pPr>
            <w:r>
              <w:t xml:space="preserve">(</w:t>
            </w:r>
            <w:r>
              <w:t xml:space="preserve">%) of total weight</w:t>
            </w:r>
          </w:p>
        </w:tc>
      </w:tr>
      <w:tr>
        <w:tc>
          <w:tcPr/>
          <w:p>
            <w:pPr>
              <w:pStyle w:val="Compact"/>
              <w:jc w:val="left"/>
            </w:pPr>
            <w:r>
              <w:rPr>
                <w:bCs/>
                <w:b/>
              </w:rPr>
              <w:t xml:space="preserve">Timeout coefficients</w:t>
            </w:r>
            <w:r>
              <w:t xml:space="preserve"> </w:t>
            </w:r>
            <w:r>
              <w:t xml:space="preserve">(c_1, c_2, c_3)</w:t>
            </w:r>
          </w:p>
        </w:tc>
        <w:tc>
          <w:tcPr/>
          <w:p>
            <w:pPr>
              <w:pStyle w:val="Compact"/>
              <w:jc w:val="left"/>
            </w:pPr>
            <w:r>
              <w:t xml:space="preserve">Multipliers for adaptive timeouts (see §10).</w:t>
            </w:r>
          </w:p>
        </w:tc>
        <w:tc>
          <w:tcPr/>
          <w:p>
            <w:pPr>
              <w:pStyle w:val="Compact"/>
              <w:jc w:val="left"/>
            </w:pPr>
            <w:r>
              <w:t xml:space="preserve">Larger coefficients tolerate network jitter but slow down view changes; smaller values risk unnecessary view changes.</w:t>
            </w:r>
          </w:p>
        </w:tc>
        <w:tc>
          <w:tcPr/>
          <w:p>
            <w:pPr>
              <w:pStyle w:val="Compact"/>
              <w:jc w:val="left"/>
            </w:pPr>
            <w:r>
              <w:t xml:space="preserve">1.5–3.0</w:t>
            </w:r>
          </w:p>
        </w:tc>
      </w:tr>
      <w:tr>
        <w:tc>
          <w:tcPr/>
          <w:p>
            <w:pPr>
              <w:pStyle w:val="Compact"/>
              <w:jc w:val="left"/>
            </w:pPr>
            <w:r>
              <w:rPr>
                <w:bCs/>
                <w:b/>
              </w:rPr>
              <w:t xml:space="preserve">Backoff factor</w:t>
            </w:r>
            <w:r>
              <w:t xml:space="preserve"> </w:t>
            </w:r>
            <w:r>
              <w:t xml:space="preserve">(β)</w:t>
            </w:r>
          </w:p>
        </w:tc>
        <w:tc>
          <w:tcPr/>
          <w:p>
            <w:pPr>
              <w:pStyle w:val="Compact"/>
              <w:jc w:val="left"/>
            </w:pPr>
            <w:r>
              <w:t xml:space="preserve">Multiplier applied to timeouts on subsequent view changes.</w:t>
            </w:r>
          </w:p>
        </w:tc>
        <w:tc>
          <w:tcPr/>
          <w:p>
            <w:pPr>
              <w:pStyle w:val="Compact"/>
              <w:jc w:val="left"/>
            </w:pPr>
            <w:r>
              <w:t xml:space="preserve">Controls how aggressively the protocol backs off under repeated failures.</w:t>
            </w:r>
          </w:p>
        </w:tc>
        <w:tc>
          <w:tcPr/>
          <w:p>
            <w:pPr>
              <w:pStyle w:val="Compact"/>
              <w:jc w:val="left"/>
            </w:pPr>
            <w:r>
              <w:t xml:space="preserve">1.2–2.0</w:t>
            </w:r>
          </w:p>
        </w:tc>
      </w:tr>
      <w:tr>
        <w:tc>
          <w:tcPr/>
          <w:p>
            <w:pPr>
              <w:pStyle w:val="Compact"/>
              <w:jc w:val="left"/>
            </w:pPr>
            <w:r>
              <w:rPr>
                <w:bCs/>
                <w:b/>
              </w:rPr>
              <w:t xml:space="preserve">SXCP checkpoint interval</w:t>
            </w:r>
          </w:p>
        </w:tc>
        <w:tc>
          <w:tcPr/>
          <w:p>
            <w:pPr>
              <w:pStyle w:val="Compact"/>
              <w:jc w:val="left"/>
            </w:pPr>
            <w:r>
              <w:t xml:space="preserve">Number of blocks between cross‑chain checkpoints.</w:t>
            </w:r>
          </w:p>
        </w:tc>
        <w:tc>
          <w:tcPr/>
          <w:p>
            <w:pPr>
              <w:pStyle w:val="Compact"/>
              <w:jc w:val="left"/>
            </w:pPr>
            <w:r>
              <w:t xml:space="preserve">Short intervals reduce cross‑chain latency but increase block size and relayer workload.</w:t>
            </w:r>
          </w:p>
        </w:tc>
        <w:tc>
          <w:tcPr/>
          <w:p>
            <w:pPr>
              <w:pStyle w:val="Compact"/>
              <w:jc w:val="left"/>
            </w:pPr>
            <w:r>
              <w:t xml:space="preserve">50–200 blocks</w:t>
            </w:r>
          </w:p>
        </w:tc>
      </w:tr>
      <w:tr>
        <w:tc>
          <w:tcPr/>
          <w:p>
            <w:pPr>
              <w:pStyle w:val="Compact"/>
              <w:jc w:val="left"/>
            </w:pPr>
            <w:r>
              <w:rPr>
                <w:bCs/>
                <w:b/>
              </w:rPr>
              <w:t xml:space="preserve">Cross‑chain finality delay</w:t>
            </w:r>
            <w:r>
              <w:t xml:space="preserve"> </w:t>
            </w:r>
            <w:r>
              <w:t xml:space="preserve">(τ_x)</w:t>
            </w:r>
          </w:p>
        </w:tc>
        <w:tc>
          <w:tcPr/>
          <w:p>
            <w:pPr>
              <w:pStyle w:val="Compact"/>
              <w:jc w:val="left"/>
            </w:pPr>
            <w:r>
              <w:t xml:space="preserve">Number of confirmations required on external chain (x).</w:t>
            </w:r>
          </w:p>
        </w:tc>
        <w:tc>
          <w:tcPr/>
          <w:p>
            <w:pPr>
              <w:pStyle w:val="Compact"/>
              <w:jc w:val="left"/>
            </w:pPr>
            <w:r>
              <w:t xml:space="preserve">Larger delays decrease reorg risk but lengthen deposit/withdrawal time.</w:t>
            </w:r>
          </w:p>
        </w:tc>
        <w:tc>
          <w:tcPr/>
          <w:p>
            <w:pPr>
              <w:pStyle w:val="Compact"/>
              <w:jc w:val="left"/>
            </w:pPr>
            <w:r>
              <w:t xml:space="preserve">Dependent on external chain (e.g., 12 for Ethereum, 6 for Bitcoin)</w:t>
            </w:r>
          </w:p>
        </w:tc>
      </w:tr>
      <w:tr>
        <w:tc>
          <w:tcPr/>
          <w:p>
            <w:pPr>
              <w:pStyle w:val="Compact"/>
              <w:jc w:val="left"/>
            </w:pPr>
            <w:r>
              <w:rPr>
                <w:bCs/>
                <w:b/>
              </w:rPr>
              <w:t xml:space="preserve">Bond amount (relayers)</w:t>
            </w:r>
          </w:p>
        </w:tc>
        <w:tc>
          <w:tcPr/>
          <w:p>
            <w:pPr>
              <w:pStyle w:val="Compact"/>
              <w:jc w:val="left"/>
            </w:pPr>
            <w:r>
              <w:t xml:space="preserve">Stake posted by SXCP relayers to secure cross‑chain attestations.</w:t>
            </w:r>
          </w:p>
        </w:tc>
        <w:tc>
          <w:tcPr/>
          <w:p>
            <w:pPr>
              <w:pStyle w:val="Compact"/>
              <w:jc w:val="left"/>
            </w:pPr>
            <w:r>
              <w:t xml:space="preserve">Larger bonds increase economic security but may discourage participation.</w:t>
            </w:r>
          </w:p>
        </w:tc>
        <w:tc>
          <w:tcPr/>
          <w:p>
            <w:pPr>
              <w:pStyle w:val="Compact"/>
              <w:jc w:val="left"/>
            </w:pPr>
            <w:r>
              <w:t xml:space="preserve">≥ value of assets transported per epoch</w:t>
            </w:r>
          </w:p>
        </w:tc>
      </w:tr>
      <w:tr>
        <w:tc>
          <w:tcPr/>
          <w:p>
            <w:pPr>
              <w:pStyle w:val="Compact"/>
              <w:jc w:val="left"/>
            </w:pPr>
            <w:r>
              <w:rPr>
                <w:bCs/>
                <w:b/>
              </w:rPr>
              <w:t xml:space="preserve">Inflation rate</w:t>
            </w:r>
          </w:p>
        </w:tc>
        <w:tc>
          <w:tcPr/>
          <w:p>
            <w:pPr>
              <w:pStyle w:val="Compact"/>
              <w:jc w:val="left"/>
            </w:pPr>
            <w:r>
              <w:t xml:space="preserve">Rate at which new SNRG is minted for block subsidies.</w:t>
            </w:r>
          </w:p>
        </w:tc>
        <w:tc>
          <w:tcPr/>
          <w:p>
            <w:pPr>
              <w:pStyle w:val="Compact"/>
              <w:jc w:val="left"/>
            </w:pPr>
            <w:r>
              <w:t xml:space="preserve">Higher inflation increases security incentives but dilutes holders.</w:t>
            </w:r>
          </w:p>
        </w:tc>
        <w:tc>
          <w:tcPr/>
          <w:p>
            <w:pPr>
              <w:pStyle w:val="Compact"/>
              <w:jc w:val="left"/>
            </w:pPr>
            <w:r>
              <w:t xml:space="preserve">Start at 5 % per annum, halve every four years</w:t>
            </w:r>
          </w:p>
        </w:tc>
      </w:tr>
    </w:tbl>
    <w:bookmarkEnd w:id="20"/>
    <w:bookmarkStart w:id="21" w:name="pqcheavy-preset"/>
    <w:p>
      <w:pPr>
        <w:pStyle w:val="Heading2"/>
      </w:pPr>
      <w:r>
        <w:t xml:space="preserve">12.2 PQC‑Heavy Preset</w:t>
      </w:r>
    </w:p>
    <w:p>
      <w:pPr>
        <w:pStyle w:val="FirstParagraph"/>
      </w:pPr>
      <w:r>
        <w:t xml:space="preserve">The Aegis PQC suite introduces larger signature sizes and more expensive verification relative to classical algorithms. To accommodate this, the following preset is recommended for early testnets:</w:t>
      </w:r>
    </w:p>
    <w:p>
      <w:pPr>
        <w:numPr>
          <w:ilvl w:val="0"/>
          <w:numId w:val="1001"/>
        </w:numPr>
        <w:pStyle w:val="Compact"/>
      </w:pPr>
      <w:r>
        <w:rPr>
          <w:bCs/>
          <w:b/>
        </w:rPr>
        <w:t xml:space="preserve">Committee size:</w:t>
      </w:r>
      <w:r>
        <w:t xml:space="preserve"> </w:t>
      </w:r>
      <w:r>
        <w:t xml:space="preserve">150</w:t>
      </w:r>
    </w:p>
    <w:p>
      <w:pPr>
        <w:numPr>
          <w:ilvl w:val="0"/>
          <w:numId w:val="1001"/>
        </w:numPr>
        <w:pStyle w:val="Compact"/>
      </w:pPr>
      <w:r>
        <w:rPr>
          <w:bCs/>
          <w:b/>
        </w:rPr>
        <w:t xml:space="preserve">Timeout coefficients:</w:t>
      </w:r>
      <w:r>
        <w:t xml:space="preserve"> </w:t>
      </w:r>
      <w:r>
        <w:t xml:space="preserve">(c_1 = 2.0), (c_2 = 2.5), (c_3 = 3.0)</w:t>
      </w:r>
    </w:p>
    <w:p>
      <w:pPr>
        <w:numPr>
          <w:ilvl w:val="0"/>
          <w:numId w:val="1001"/>
        </w:numPr>
        <w:pStyle w:val="Compact"/>
      </w:pPr>
      <w:r>
        <w:rPr>
          <w:bCs/>
          <w:b/>
        </w:rPr>
        <w:t xml:space="preserve">Backoff factor:</w:t>
      </w:r>
      <w:r>
        <w:t xml:space="preserve"> </w:t>
      </w:r>
      <w:r>
        <w:t xml:space="preserve">(β = 1.5)</w:t>
      </w:r>
    </w:p>
    <w:p>
      <w:pPr>
        <w:numPr>
          <w:ilvl w:val="0"/>
          <w:numId w:val="1001"/>
        </w:numPr>
        <w:pStyle w:val="Compact"/>
      </w:pPr>
      <w:r>
        <w:rPr>
          <w:bCs/>
          <w:b/>
        </w:rPr>
        <w:t xml:space="preserve">SXCP checkpoint interval:</w:t>
      </w:r>
      <w:r>
        <w:t xml:space="preserve"> </w:t>
      </w:r>
      <w:r>
        <w:t xml:space="preserve">100 blocks</w:t>
      </w:r>
    </w:p>
    <w:p>
      <w:pPr>
        <w:numPr>
          <w:ilvl w:val="0"/>
          <w:numId w:val="1001"/>
        </w:numPr>
        <w:pStyle w:val="Compact"/>
      </w:pPr>
      <w:r>
        <w:rPr>
          <w:bCs/>
          <w:b/>
        </w:rPr>
        <w:t xml:space="preserve">Quorum threshold:</w:t>
      </w:r>
      <w:r>
        <w:t xml:space="preserve"> </w:t>
      </w:r>
      <w:r>
        <w:t xml:space="preserve">67 % of total normalized weight</w:t>
      </w:r>
    </w:p>
    <w:p>
      <w:pPr>
        <w:numPr>
          <w:ilvl w:val="0"/>
          <w:numId w:val="1001"/>
        </w:numPr>
        <w:pStyle w:val="Compact"/>
      </w:pPr>
      <w:r>
        <w:rPr>
          <w:bCs/>
          <w:b/>
        </w:rPr>
        <w:t xml:space="preserve">Bond amount:</w:t>
      </w:r>
      <w:r>
        <w:t xml:space="preserve"> </w:t>
      </w:r>
      <w:r>
        <w:t xml:space="preserve">At least 2× the maximum value expected to cross in a single epoch</w:t>
      </w:r>
    </w:p>
    <w:p>
      <w:pPr>
        <w:numPr>
          <w:ilvl w:val="0"/>
          <w:numId w:val="1001"/>
        </w:numPr>
        <w:pStyle w:val="Compact"/>
      </w:pPr>
      <w:r>
        <w:rPr>
          <w:bCs/>
          <w:b/>
        </w:rPr>
        <w:t xml:space="preserve">Inflation rate:</w:t>
      </w:r>
      <w:r>
        <w:t xml:space="preserve"> </w:t>
      </w:r>
      <w:r>
        <w:t xml:space="preserve">6 % in year 1, decreasing linearly to 1 % by year 10</w:t>
      </w:r>
    </w:p>
    <w:p>
      <w:pPr>
        <w:pStyle w:val="FirstParagraph"/>
      </w:pPr>
      <w:r>
        <w:t xml:space="preserve">These values strike a balance between security and resource consumption. Operators may adjust them as hardware improves or as Aegis implementations become more efficient. All parameters should be recorded in a YAML configuration file with cryptographic identifiers and version numbers, such as:</w:t>
      </w:r>
    </w:p>
    <w:p>
      <w:pPr>
        <w:pStyle w:val="SourceCode"/>
      </w:pPr>
      <w:r>
        <w:rPr>
          <w:rStyle w:val="FunctionTok"/>
        </w:rPr>
        <w:t xml:space="preserve">version</w:t>
      </w:r>
      <w:r>
        <w:rPr>
          <w:rStyle w:val="KeywordTok"/>
        </w:rPr>
        <w:t xml:space="preserve">:</w:t>
      </w:r>
      <w:r>
        <w:rPr>
          <w:rStyle w:val="AttributeTok"/>
        </w:rPr>
        <w:t xml:space="preserve"> </w:t>
      </w:r>
      <w:r>
        <w:rPr>
          <w:rStyle w:val="FloatTok"/>
        </w:rPr>
        <w:t xml:space="preserve">1.0</w:t>
      </w:r>
      <w:r>
        <w:br/>
      </w:r>
      <w:r>
        <w:rPr>
          <w:rStyle w:val="FunctionTok"/>
        </w:rPr>
        <w:t xml:space="preserve">committee_size</w:t>
      </w:r>
      <w:r>
        <w:rPr>
          <w:rStyle w:val="KeywordTok"/>
        </w:rPr>
        <w:t xml:space="preserve">:</w:t>
      </w:r>
      <w:r>
        <w:rPr>
          <w:rStyle w:val="AttributeTok"/>
        </w:rPr>
        <w:t xml:space="preserve"> </w:t>
      </w:r>
      <w:r>
        <w:rPr>
          <w:rStyle w:val="DecValTok"/>
        </w:rPr>
        <w:t xml:space="preserve">150</w:t>
      </w:r>
      <w:r>
        <w:br/>
      </w:r>
      <w:r>
        <w:rPr>
          <w:rStyle w:val="FunctionTok"/>
        </w:rPr>
        <w:t xml:space="preserve">quorum_threshold</w:t>
      </w:r>
      <w:r>
        <w:rPr>
          <w:rStyle w:val="KeywordTok"/>
        </w:rPr>
        <w:t xml:space="preserve">:</w:t>
      </w:r>
      <w:r>
        <w:rPr>
          <w:rStyle w:val="AttributeTok"/>
        </w:rPr>
        <w:t xml:space="preserve"> </w:t>
      </w:r>
      <w:r>
        <w:rPr>
          <w:rStyle w:val="FloatTok"/>
        </w:rPr>
        <w:t xml:space="preserve">0.67</w:t>
      </w:r>
      <w:r>
        <w:br/>
      </w:r>
      <w:r>
        <w:rPr>
          <w:rStyle w:val="FunctionTok"/>
        </w:rPr>
        <w:t xml:space="preserve">timeout</w:t>
      </w:r>
      <w:r>
        <w:rPr>
          <w:rStyle w:val="KeywordTok"/>
        </w:rPr>
        <w:t xml:space="preserve">:</w:t>
      </w:r>
      <w:r>
        <w:br/>
      </w:r>
      <w:r>
        <w:rPr>
          <w:rStyle w:val="AttributeTok"/>
        </w:rPr>
        <w:t xml:space="preserve">  </w:t>
      </w:r>
      <w:r>
        <w:rPr>
          <w:rStyle w:val="FunctionTok"/>
        </w:rPr>
        <w:t xml:space="preserve">prepare</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precommit</w:t>
      </w:r>
      <w:r>
        <w:rPr>
          <w:rStyle w:val="KeywordTok"/>
        </w:rPr>
        <w:t xml:space="preserve">:</w:t>
      </w:r>
      <w:r>
        <w:rPr>
          <w:rStyle w:val="AttributeTok"/>
        </w:rPr>
        <w:t xml:space="preserve"> </w:t>
      </w:r>
      <w:r>
        <w:rPr>
          <w:rStyle w:val="FloatTok"/>
        </w:rPr>
        <w:t xml:space="preserve">2.5</w:t>
      </w:r>
      <w:r>
        <w:br/>
      </w:r>
      <w:r>
        <w:rPr>
          <w:rStyle w:val="AttributeTok"/>
        </w:rPr>
        <w:t xml:space="preserve">  </w:t>
      </w:r>
      <w:r>
        <w:rPr>
          <w:rStyle w:val="FunctionTok"/>
        </w:rPr>
        <w:t xml:space="preserve">commit</w:t>
      </w:r>
      <w:r>
        <w:rPr>
          <w:rStyle w:val="KeywordTok"/>
        </w:rPr>
        <w:t xml:space="preserve">:</w:t>
      </w:r>
      <w:r>
        <w:rPr>
          <w:rStyle w:val="AttributeTok"/>
        </w:rPr>
        <w:t xml:space="preserve"> </w:t>
      </w:r>
      <w:r>
        <w:rPr>
          <w:rStyle w:val="FloatTok"/>
        </w:rPr>
        <w:t xml:space="preserve">3.0</w:t>
      </w:r>
      <w:r>
        <w:br/>
      </w:r>
      <w:r>
        <w:rPr>
          <w:rStyle w:val="FunctionTok"/>
        </w:rPr>
        <w:t xml:space="preserve">backoff_factor</w:t>
      </w:r>
      <w:r>
        <w:rPr>
          <w:rStyle w:val="KeywordTok"/>
        </w:rPr>
        <w:t xml:space="preserve">:</w:t>
      </w:r>
      <w:r>
        <w:rPr>
          <w:rStyle w:val="AttributeTok"/>
        </w:rPr>
        <w:t xml:space="preserve"> </w:t>
      </w:r>
      <w:r>
        <w:rPr>
          <w:rStyle w:val="FloatTok"/>
        </w:rPr>
        <w:t xml:space="preserve">1.5</w:t>
      </w:r>
      <w:r>
        <w:br/>
      </w:r>
      <w:r>
        <w:rPr>
          <w:rStyle w:val="FunctionTok"/>
        </w:rPr>
        <w:t xml:space="preserve">sxcp_checkpoint_interval</w:t>
      </w:r>
      <w:r>
        <w:rPr>
          <w:rStyle w:val="KeywordTok"/>
        </w:rPr>
        <w:t xml:space="preserve">:</w:t>
      </w:r>
      <w:r>
        <w:rPr>
          <w:rStyle w:val="AttributeTok"/>
        </w:rPr>
        <w:t xml:space="preserve"> </w:t>
      </w:r>
      <w:r>
        <w:rPr>
          <w:rStyle w:val="DecValTok"/>
        </w:rPr>
        <w:t xml:space="preserve">100</w:t>
      </w:r>
      <w:r>
        <w:br/>
      </w:r>
      <w:r>
        <w:rPr>
          <w:rStyle w:val="FunctionTok"/>
        </w:rPr>
        <w:t xml:space="preserve">inflation_schedule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rate</w:t>
      </w:r>
      <w:r>
        <w:rPr>
          <w:rStyle w:val="KeywordTok"/>
        </w:rPr>
        <w:t xml:space="preserve">:</w:t>
      </w:r>
      <w:r>
        <w:rPr>
          <w:rStyle w:val="AttributeTok"/>
        </w:rPr>
        <w:t xml:space="preserve"> </w:t>
      </w:r>
      <w:r>
        <w:rPr>
          <w:rStyle w:val="FloatTok"/>
        </w:rPr>
        <w:t xml:space="preserve">0.06</w:t>
      </w:r>
      <w:r>
        <w:br/>
      </w:r>
      <w:r>
        <w:rPr>
          <w:rStyle w:val="AttributeTok"/>
        </w:rPr>
        <w:t xml:space="preserve">  </w:t>
      </w:r>
      <w:r>
        <w:rPr>
          <w:rStyle w:val="KeywordTok"/>
        </w:rPr>
        <w:t xml:space="preserve">-</w:t>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rate</w:t>
      </w:r>
      <w:r>
        <w:rPr>
          <w:rStyle w:val="KeywordTok"/>
        </w:rPr>
        <w:t xml:space="preserve">:</w:t>
      </w:r>
      <w:r>
        <w:rPr>
          <w:rStyle w:val="AttributeTok"/>
        </w:rPr>
        <w:t xml:space="preserve"> </w:t>
      </w:r>
      <w:r>
        <w:rPr>
          <w:rStyle w:val="FloatTok"/>
        </w:rPr>
        <w:t xml:space="preserve">0.03</w:t>
      </w:r>
      <w:r>
        <w:br/>
      </w:r>
      <w:r>
        <w:rPr>
          <w:rStyle w:val="AttributeTok"/>
        </w:rPr>
        <w:t xml:space="preserve">  </w:t>
      </w:r>
      <w:r>
        <w:rPr>
          <w:rStyle w:val="KeywordTok"/>
        </w:rPr>
        <w:t xml:space="preserve">-</w:t>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rate</w:t>
      </w:r>
      <w:r>
        <w:rPr>
          <w:rStyle w:val="KeywordTok"/>
        </w:rPr>
        <w:t xml:space="preserve">:</w:t>
      </w:r>
      <w:r>
        <w:rPr>
          <w:rStyle w:val="AttributeTok"/>
        </w:rPr>
        <w:t xml:space="preserve"> </w:t>
      </w:r>
      <w:r>
        <w:rPr>
          <w:rStyle w:val="FloatTok"/>
        </w:rPr>
        <w:t xml:space="preserve">0.01</w:t>
      </w:r>
      <w:r>
        <w:br/>
      </w:r>
      <w:r>
        <w:rPr>
          <w:rStyle w:val="FunctionTok"/>
        </w:rPr>
        <w:t xml:space="preserve">relayer_bond_multiplier</w:t>
      </w:r>
      <w:r>
        <w:rPr>
          <w:rStyle w:val="KeywordTok"/>
        </w:rPr>
        <w:t xml:space="preserve">:</w:t>
      </w:r>
      <w:r>
        <w:rPr>
          <w:rStyle w:val="AttributeTok"/>
        </w:rPr>
        <w:t xml:space="preserve"> </w:t>
      </w:r>
      <w:r>
        <w:rPr>
          <w:rStyle w:val="DecValTok"/>
        </w:rPr>
        <w:t xml:space="preserve">2</w:t>
      </w:r>
      <w:r>
        <w:br/>
      </w:r>
      <w:r>
        <w:rPr>
          <w:rStyle w:val="FunctionTok"/>
        </w:rPr>
        <w:t xml:space="preserve">external_chains</w:t>
      </w:r>
      <w:r>
        <w:rPr>
          <w:rStyle w:val="KeywordTok"/>
        </w:rPr>
        <w:t xml:space="preserve">:</w:t>
      </w:r>
      <w:r>
        <w:br/>
      </w:r>
      <w:r>
        <w:rPr>
          <w:rStyle w:val="AttributeTok"/>
        </w:rPr>
        <w:t xml:space="preserve">  </w:t>
      </w:r>
      <w:r>
        <w:rPr>
          <w:rStyle w:val="FunctionTok"/>
        </w:rPr>
        <w:t xml:space="preserve">ethereum</w:t>
      </w:r>
      <w:r>
        <w:rPr>
          <w:rStyle w:val="KeywordTok"/>
        </w:rPr>
        <w:t xml:space="preserve">:</w:t>
      </w:r>
      <w:r>
        <w:br/>
      </w:r>
      <w:r>
        <w:rPr>
          <w:rStyle w:val="AttributeTok"/>
        </w:rPr>
        <w:t xml:space="preserve">    </w:t>
      </w:r>
      <w:r>
        <w:rPr>
          <w:rStyle w:val="FunctionTok"/>
        </w:rPr>
        <w:t xml:space="preserve">tau</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bitcoin</w:t>
      </w:r>
      <w:r>
        <w:rPr>
          <w:rStyle w:val="KeywordTok"/>
        </w:rPr>
        <w:t xml:space="preserve">:</w:t>
      </w:r>
      <w:r>
        <w:br/>
      </w:r>
      <w:r>
        <w:rPr>
          <w:rStyle w:val="AttributeTok"/>
        </w:rPr>
        <w:t xml:space="preserve">    </w:t>
      </w:r>
      <w:r>
        <w:rPr>
          <w:rStyle w:val="FunctionTok"/>
        </w:rPr>
        <w:t xml:space="preserve">tau</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solana</w:t>
      </w:r>
      <w:r>
        <w:rPr>
          <w:rStyle w:val="KeywordTok"/>
        </w:rPr>
        <w:t xml:space="preserve">:</w:t>
      </w:r>
      <w:r>
        <w:br/>
      </w:r>
      <w:r>
        <w:rPr>
          <w:rStyle w:val="AttributeTok"/>
        </w:rPr>
        <w:t xml:space="preserve">    </w:t>
      </w:r>
      <w:r>
        <w:rPr>
          <w:rStyle w:val="FunctionTok"/>
        </w:rPr>
        <w:t xml:space="preserve">tau</w:t>
      </w:r>
      <w:r>
        <w:rPr>
          <w:rStyle w:val="KeywordTok"/>
        </w:rPr>
        <w:t xml:space="preserve">:</w:t>
      </w:r>
      <w:r>
        <w:rPr>
          <w:rStyle w:val="AttributeTok"/>
        </w:rPr>
        <w:t xml:space="preserve"> </w:t>
      </w:r>
      <w:r>
        <w:rPr>
          <w:rStyle w:val="DecValTok"/>
        </w:rPr>
        <w:t xml:space="preserve">32</w:t>
      </w:r>
    </w:p>
    <w:p>
      <w:pPr>
        <w:pStyle w:val="FirstParagraph"/>
      </w:pPr>
      <w:r>
        <w:t xml:space="preserve">This configuration is referenced by the on‑chain code and by off‑chain tools such as monitoring dashboards. All parameter names and variables correspond to those defined in §2 Notation, and further references are listed in §22.</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2025-10-17T07:06:38Z</dcterms:created>
  <dcterms:modified xsi:type="dcterms:W3CDTF">2025-10-17T07:06:38Z</dcterms:modified>
</cp:coreProperties>
</file>

<file path=docProps/custom.xml><?xml version="1.0" encoding="utf-8"?>
<Properties xmlns="http://schemas.openxmlformats.org/officeDocument/2006/custom-properties" xmlns:vt="http://schemas.openxmlformats.org/officeDocument/2006/docPropsVTypes"/>
</file>