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mplementation-interfaces"/>
    <w:p>
      <w:pPr>
        <w:pStyle w:val="Heading1"/>
      </w:pPr>
      <w:r>
        <w:t xml:space="preserve">13 Implementation Interfaces</w:t>
      </w:r>
    </w:p>
    <w:p>
      <w:pPr>
        <w:pStyle w:val="FirstParagraph"/>
      </w:pPr>
      <w:r>
        <w:t xml:space="preserve">Implementing PoSy and the SXCP requires a suite of well‑defined interfaces between consensus nodes, relayers, data availability verifiers, wallets and external chains. This section documents versioning conventions, schema definitions and migration plans for these interfaces.</w:t>
      </w:r>
    </w:p>
    <w:bookmarkStart w:id="20" w:name="version-schemas"/>
    <w:p>
      <w:pPr>
        <w:pStyle w:val="Heading2"/>
      </w:pPr>
      <w:r>
        <w:t xml:space="preserve">13.1 Version Schemas</w:t>
      </w:r>
    </w:p>
    <w:p>
      <w:pPr>
        <w:pStyle w:val="FirstParagraph"/>
      </w:pPr>
      <w:r>
        <w:t xml:space="preserve">All on‑chain and off‑chain interfaces include a semantic version number of the form</w:t>
      </w:r>
      <w:r>
        <w:t xml:space="preserve"> </w:t>
      </w:r>
      <w:r>
        <w:rPr>
          <w:rStyle w:val="VerbatimChar"/>
        </w:rPr>
        <w:t xml:space="preserve">MAJOR.MINOR.PATCH</w:t>
      </w:r>
      <w:r>
        <w:t xml:space="preserve">. Compatibility rules are:</w:t>
      </w:r>
    </w:p>
    <w:p>
      <w:pPr>
        <w:numPr>
          <w:ilvl w:val="0"/>
          <w:numId w:val="1001"/>
        </w:numPr>
        <w:pStyle w:val="Compact"/>
      </w:pPr>
      <w:r>
        <w:rPr>
          <w:bCs/>
          <w:b/>
        </w:rPr>
        <w:t xml:space="preserve">MAJOR</w:t>
      </w:r>
      <w:r>
        <w:t xml:space="preserve"> </w:t>
      </w:r>
      <w:r>
        <w:t xml:space="preserve">versions introduce breaking changes requiring explicit migrations and a network upgrade. These are scheduled via governance and must be accompanied by audits.</w:t>
      </w:r>
    </w:p>
    <w:p>
      <w:pPr>
        <w:numPr>
          <w:ilvl w:val="0"/>
          <w:numId w:val="1001"/>
        </w:numPr>
        <w:pStyle w:val="Compact"/>
      </w:pPr>
      <w:r>
        <w:rPr>
          <w:bCs/>
          <w:b/>
        </w:rPr>
        <w:t xml:space="preserve">MINOR</w:t>
      </w:r>
      <w:r>
        <w:t xml:space="preserve"> </w:t>
      </w:r>
      <w:r>
        <w:t xml:space="preserve">versions add backwards‑compatible features such as new message fields or optional capabilities. Nodes may gradually upgrade.</w:t>
      </w:r>
    </w:p>
    <w:p>
      <w:pPr>
        <w:numPr>
          <w:ilvl w:val="0"/>
          <w:numId w:val="1001"/>
        </w:numPr>
        <w:pStyle w:val="Compact"/>
      </w:pPr>
      <w:r>
        <w:rPr>
          <w:bCs/>
          <w:b/>
        </w:rPr>
        <w:t xml:space="preserve">PATCH</w:t>
      </w:r>
      <w:r>
        <w:t xml:space="preserve"> </w:t>
      </w:r>
      <w:r>
        <w:t xml:space="preserve">versions fix bugs or clarify documentation; they do not change serialization formats.</w:t>
      </w:r>
    </w:p>
    <w:p>
      <w:pPr>
        <w:pStyle w:val="FirstParagraph"/>
      </w:pPr>
      <w:r>
        <w:t xml:space="preserve">Example:</w:t>
      </w:r>
      <w:r>
        <w:t xml:space="preserve"> </w:t>
      </w:r>
      <w:r>
        <w:rPr>
          <w:rStyle w:val="VerbatimChar"/>
        </w:rPr>
        <w:t xml:space="preserve">quorum-certificate/v2.1.0</w:t>
      </w:r>
      <w:r>
        <w:t xml:space="preserve"> </w:t>
      </w:r>
      <w:r>
        <w:t xml:space="preserve">denotes a QC schema with additional SXCP fields added in minor version 1.</w:t>
      </w:r>
    </w:p>
    <w:p>
      <w:pPr>
        <w:pStyle w:val="BodyText"/>
      </w:pPr>
      <w:r>
        <w:t xml:space="preserve">Version identifiers are embedded in message prefixes and YAML configuration files. Validators reject messages with unsupported MAJOR versions. A mapping of schema names to latest versions should be maintained in Appendix B.</w:t>
      </w:r>
    </w:p>
    <w:bookmarkEnd w:id="20"/>
    <w:bookmarkStart w:id="21" w:name="migration-plan"/>
    <w:p>
      <w:pPr>
        <w:pStyle w:val="Heading2"/>
      </w:pPr>
      <w:r>
        <w:t xml:space="preserve">13.2 Migration Plan</w:t>
      </w:r>
    </w:p>
    <w:p>
      <w:pPr>
        <w:pStyle w:val="FirstParagraph"/>
      </w:pPr>
      <w:r>
        <w:t xml:space="preserve">Migrating to a new MAJOR version follows these steps:</w:t>
      </w:r>
    </w:p>
    <w:p>
      <w:pPr>
        <w:numPr>
          <w:ilvl w:val="0"/>
          <w:numId w:val="1002"/>
        </w:numPr>
        <w:pStyle w:val="Compact"/>
      </w:pPr>
      <w:r>
        <w:rPr>
          <w:bCs/>
          <w:b/>
        </w:rPr>
        <w:t xml:space="preserve">Specification finalization:</w:t>
      </w:r>
      <w:r>
        <w:t xml:space="preserve"> </w:t>
      </w:r>
      <w:r>
        <w:t xml:space="preserve">Publish the new schema in Appendix D with rationale and changelog. Solicit review and sign‑off from core developers and auditors.</w:t>
      </w:r>
    </w:p>
    <w:p>
      <w:pPr>
        <w:numPr>
          <w:ilvl w:val="0"/>
          <w:numId w:val="1002"/>
        </w:numPr>
        <w:pStyle w:val="Compact"/>
      </w:pPr>
      <w:r>
        <w:rPr>
          <w:bCs/>
          <w:b/>
        </w:rPr>
        <w:t xml:space="preserve">Testnet rollout:</w:t>
      </w:r>
      <w:r>
        <w:t xml:space="preserve"> </w:t>
      </w:r>
      <w:r>
        <w:t xml:space="preserve">Deploy new code on a testnet; run property‑based tests (§15), cross‑chain integration tests and performance benchmarks.</w:t>
      </w:r>
    </w:p>
    <w:p>
      <w:pPr>
        <w:numPr>
          <w:ilvl w:val="0"/>
          <w:numId w:val="1002"/>
        </w:numPr>
        <w:pStyle w:val="Compact"/>
      </w:pPr>
      <w:r>
        <w:rPr>
          <w:bCs/>
          <w:b/>
        </w:rPr>
        <w:t xml:space="preserve">Validator signaling:</w:t>
      </w:r>
      <w:r>
        <w:t xml:space="preserve"> </w:t>
      </w:r>
      <w:r>
        <w:t xml:space="preserve">Require validators to signal readiness via on‑chain governance. Once ≥ 80 % of the normalized weight signals support, the upgrade is scheduled at a future epoch boundary (§11).</w:t>
      </w:r>
    </w:p>
    <w:p>
      <w:pPr>
        <w:numPr>
          <w:ilvl w:val="0"/>
          <w:numId w:val="1002"/>
        </w:numPr>
        <w:pStyle w:val="Compact"/>
      </w:pPr>
      <w:r>
        <w:rPr>
          <w:bCs/>
          <w:b/>
        </w:rPr>
        <w:t xml:space="preserve">Dual compatibility window:</w:t>
      </w:r>
      <w:r>
        <w:t xml:space="preserve"> </w:t>
      </w:r>
      <w:r>
        <w:t xml:space="preserve">For a limited number of epochs, nodes accept both old and new versions. Messages include version tags so that consensus on version can be reached (similar to network upgrades in other BFT protocols).</w:t>
      </w:r>
    </w:p>
    <w:p>
      <w:pPr>
        <w:numPr>
          <w:ilvl w:val="0"/>
          <w:numId w:val="1002"/>
        </w:numPr>
        <w:pStyle w:val="Compact"/>
      </w:pPr>
      <w:r>
        <w:rPr>
          <w:bCs/>
          <w:b/>
        </w:rPr>
        <w:t xml:space="preserve">Activation:</w:t>
      </w:r>
      <w:r>
        <w:t xml:space="preserve"> </w:t>
      </w:r>
      <w:r>
        <w:t xml:space="preserve">At the scheduled epoch, old messages are rejected and only the new version is allowed. Validators not upgraded are removed from the active set and may rejoin once compatible.</w:t>
      </w:r>
    </w:p>
    <w:bookmarkEnd w:id="21"/>
    <w:bookmarkStart w:id="22" w:name="sxcp-relayer-registry-and-uma-link-api"/>
    <w:p>
      <w:pPr>
        <w:pStyle w:val="Heading2"/>
      </w:pPr>
      <w:r>
        <w:t xml:space="preserve">13.3 SXCP Relayer Registry and UMA Link API</w:t>
      </w:r>
    </w:p>
    <w:p>
      <w:pPr>
        <w:pStyle w:val="FirstParagraph"/>
      </w:pPr>
      <w:r>
        <w:t xml:space="preserve">SXCP relayers must register and maintain metadata on‑chain to coordinate cross‑chain attestations. The</w:t>
      </w:r>
      <w:r>
        <w:t xml:space="preserve"> </w:t>
      </w:r>
      <w:r>
        <w:rPr>
          <w:bCs/>
          <w:b/>
        </w:rPr>
        <w:t xml:space="preserve">Relayer Registry</w:t>
      </w:r>
      <w:r>
        <w:t xml:space="preserve"> </w:t>
      </w:r>
      <w:r>
        <w:t xml:space="preserve">contract stores:</w:t>
      </w:r>
    </w:p>
    <w:p>
      <w:pPr>
        <w:numPr>
          <w:ilvl w:val="0"/>
          <w:numId w:val="1003"/>
        </w:numPr>
        <w:pStyle w:val="Compact"/>
      </w:pPr>
      <w:r>
        <w:rPr>
          <w:bCs/>
          <w:b/>
        </w:rPr>
        <w:t xml:space="preserve">Relayer ID</w:t>
      </w:r>
      <w:r>
        <w:t xml:space="preserve"> </w:t>
      </w:r>
      <w:r>
        <w:t xml:space="preserve">(public key hash) and contact endpoint.</w:t>
      </w:r>
    </w:p>
    <w:p>
      <w:pPr>
        <w:numPr>
          <w:ilvl w:val="0"/>
          <w:numId w:val="1003"/>
        </w:numPr>
        <w:pStyle w:val="Compact"/>
      </w:pPr>
      <w:r>
        <w:rPr>
          <w:bCs/>
          <w:b/>
        </w:rPr>
        <w:t xml:space="preserve">Registered chains</w:t>
      </w:r>
      <w:r>
        <w:t xml:space="preserve">: A list of external chains the relayer commits to monitor.</w:t>
      </w:r>
    </w:p>
    <w:p>
      <w:pPr>
        <w:numPr>
          <w:ilvl w:val="0"/>
          <w:numId w:val="1003"/>
        </w:numPr>
        <w:pStyle w:val="Compact"/>
      </w:pPr>
      <w:r>
        <w:rPr>
          <w:bCs/>
          <w:b/>
        </w:rPr>
        <w:t xml:space="preserve">Bond amount and status</w:t>
      </w:r>
      <w:r>
        <w:t xml:space="preserve">: The size of the collateral posted and whether it is locked or slashed.</w:t>
      </w:r>
    </w:p>
    <w:p>
      <w:pPr>
        <w:numPr>
          <w:ilvl w:val="0"/>
          <w:numId w:val="1003"/>
        </w:numPr>
        <w:pStyle w:val="Compact"/>
      </w:pPr>
      <w:r>
        <w:rPr>
          <w:bCs/>
          <w:b/>
        </w:rPr>
        <w:t xml:space="preserve">Service level metrics</w:t>
      </w:r>
      <w:r>
        <w:t xml:space="preserve">: Historical punctuality, accuracy and uptime scores. These feed into the reputation multiplier (R_i) (§8).</w:t>
      </w:r>
    </w:p>
    <w:p>
      <w:pPr>
        <w:pStyle w:val="FirstParagraph"/>
      </w:pPr>
      <w:r>
        <w:t xml:space="preserve">Relayers interact via a gRPC or REST API to fetch and submit SXCP attestations. Example endpoint definitions include:</w:t>
      </w:r>
    </w:p>
    <w:p>
      <w:pPr>
        <w:pStyle w:val="SourceCode"/>
      </w:pPr>
      <w:r>
        <w:rPr>
          <w:rStyle w:val="VerbatimChar"/>
        </w:rPr>
        <w:t xml:space="preserve">POST /v1/relayer/{id}/attestations</w:t>
      </w:r>
      <w:r>
        <w:br/>
      </w:r>
      <w:r>
        <w:rPr>
          <w:rStyle w:val="VerbatimChar"/>
        </w:rPr>
        <w:t xml:space="preserve">  Request body: {</w:t>
      </w:r>
      <w:r>
        <w:br/>
      </w:r>
      <w:r>
        <w:rPr>
          <w:rStyle w:val="VerbatimChar"/>
        </w:rPr>
        <w:t xml:space="preserve">    "chain_id": "ethereum",</w:t>
      </w:r>
      <w:r>
        <w:br/>
      </w:r>
      <w:r>
        <w:rPr>
          <w:rStyle w:val="VerbatimChar"/>
        </w:rPr>
        <w:t xml:space="preserve">    "last_finalized_height": 1928374,</w:t>
      </w:r>
      <w:r>
        <w:br/>
      </w:r>
      <w:r>
        <w:rPr>
          <w:rStyle w:val="VerbatimChar"/>
        </w:rPr>
        <w:t xml:space="preserve">    "state_root": "0x…",</w:t>
      </w:r>
      <w:r>
        <w:br/>
      </w:r>
      <w:r>
        <w:rPr>
          <w:rStyle w:val="VerbatimChar"/>
        </w:rPr>
        <w:t xml:space="preserve">    "events": [...],</w:t>
      </w:r>
      <w:r>
        <w:br/>
      </w:r>
      <w:r>
        <w:rPr>
          <w:rStyle w:val="VerbatimChar"/>
        </w:rPr>
        <w:t xml:space="preserve">    "aegis_proof": "0x…"</w:t>
      </w:r>
      <w:r>
        <w:br/>
      </w:r>
      <w:r>
        <w:rPr>
          <w:rStyle w:val="VerbatimChar"/>
        </w:rPr>
        <w:t xml:space="preserve">  }</w:t>
      </w:r>
      <w:r>
        <w:br/>
      </w:r>
      <w:r>
        <w:br/>
      </w:r>
      <w:r>
        <w:rPr>
          <w:rStyle w:val="VerbatimChar"/>
        </w:rPr>
        <w:t xml:space="preserve">GET /v1/relayer/{id}/status</w:t>
      </w:r>
      <w:r>
        <w:br/>
      </w:r>
      <w:r>
        <w:rPr>
          <w:rStyle w:val="VerbatimChar"/>
        </w:rPr>
        <w:t xml:space="preserve">  Response: {</w:t>
      </w:r>
      <w:r>
        <w:br/>
      </w:r>
      <w:r>
        <w:rPr>
          <w:rStyle w:val="VerbatimChar"/>
        </w:rPr>
        <w:t xml:space="preserve">    "registered_chains": ["ethereum", "bitcoin"],</w:t>
      </w:r>
      <w:r>
        <w:br/>
      </w:r>
      <w:r>
        <w:rPr>
          <w:rStyle w:val="VerbatimChar"/>
        </w:rPr>
        <w:t xml:space="preserve">    "uptime": 0.997,</w:t>
      </w:r>
      <w:r>
        <w:br/>
      </w:r>
      <w:r>
        <w:rPr>
          <w:rStyle w:val="VerbatimChar"/>
        </w:rPr>
        <w:t xml:space="preserve">    "bond": "1000 SNRG",</w:t>
      </w:r>
      <w:r>
        <w:br/>
      </w:r>
      <w:r>
        <w:rPr>
          <w:rStyle w:val="VerbatimChar"/>
        </w:rPr>
        <w:t xml:space="preserve">    "punctuality": 0.94</w:t>
      </w:r>
      <w:r>
        <w:br/>
      </w:r>
      <w:r>
        <w:rPr>
          <w:rStyle w:val="VerbatimChar"/>
        </w:rPr>
        <w:t xml:space="preserve">  }</w:t>
      </w:r>
    </w:p>
    <w:p>
      <w:pPr>
        <w:pStyle w:val="FirstParagraph"/>
      </w:pPr>
      <w:r>
        <w:t xml:space="preserve">The</w:t>
      </w:r>
      <w:r>
        <w:t xml:space="preserve"> </w:t>
      </w:r>
      <w:r>
        <w:rPr>
          <w:bCs/>
          <w:b/>
        </w:rPr>
        <w:t xml:space="preserve">UMA Link API</w:t>
      </w:r>
      <w:r>
        <w:t xml:space="preserve"> </w:t>
      </w:r>
      <w:r>
        <w:t xml:space="preserve">allows wallets and dApps to associate Synergy UMAs with addresses on external chains. Wallets use the API to query available UMAs, register mappings and submit cross‑chain withdrawal instructions. Sensitive metadata (e.g., user addresses, transaction amounts) must be end‑to‑end encrypted using keys derived via Aegis KDF modules. Only minimal metadata (hash commitments, nonces) is stored on‑chain to preserve privacy.</w:t>
      </w:r>
    </w:p>
    <w:bookmarkEnd w:id="22"/>
    <w:bookmarkStart w:id="23" w:name="privacy-notes"/>
    <w:p>
      <w:pPr>
        <w:pStyle w:val="Heading2"/>
      </w:pPr>
      <w:r>
        <w:t xml:space="preserve">13.4 Privacy Notes</w:t>
      </w:r>
    </w:p>
    <w:p>
      <w:pPr>
        <w:pStyle w:val="FirstParagraph"/>
      </w:pPr>
      <w:r>
        <w:t xml:space="preserve">Although PoSy is transparent at the consensus layer, privacy must be preserved for user data and cross‑chain mappings. Relayers and validators must adhere to data minimization principles: store only hashes and commitments for sensitive fields; encrypt personal data before transmission; and segregate logging of cross‑chain metadata from consensus logs. Regulatory compliance (e.g., GDPR, CCPA) is beyond the scope of this specification but should be considered during implementation. Detailed recommendations are included in Appendix 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2025-10-17T07:06:38Z</dcterms:created>
  <dcterms:modified xsi:type="dcterms:W3CDTF">2025-10-17T07:06:38Z</dcterms:modified>
</cp:coreProperties>
</file>

<file path=docProps/custom.xml><?xml version="1.0" encoding="utf-8"?>
<Properties xmlns="http://schemas.openxmlformats.org/officeDocument/2006/custom-properties" xmlns:vt="http://schemas.openxmlformats.org/officeDocument/2006/docPropsVTypes"/>
</file>