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esting-and-validation-plan"/>
    <w:p>
      <w:pPr>
        <w:pStyle w:val="Heading1"/>
      </w:pPr>
      <w:r>
        <w:t xml:space="preserve">15 Testing and Validation Plan</w:t>
      </w:r>
    </w:p>
    <w:p>
      <w:pPr>
        <w:pStyle w:val="FirstParagraph"/>
      </w:pPr>
      <w:r>
        <w:t xml:space="preserve">Robust testing and validation are essential to ensure that PoSy and the SXCP operate correctly under a wide range of conditions, including network partitions, Byzantine adversaries and cross‑chain reorgs. This section proposes a multi‑layer testing strategy combining unit tests, property‑based tests, simulation and formal verification.</w:t>
      </w:r>
    </w:p>
    <w:bookmarkStart w:id="20" w:name="test-matrix"/>
    <w:p>
      <w:pPr>
        <w:pStyle w:val="Heading2"/>
      </w:pPr>
      <w:r>
        <w:t xml:space="preserve">15.1 Test Matrix</w:t>
      </w:r>
    </w:p>
    <w:p>
      <w:pPr>
        <w:pStyle w:val="FirstParagraph"/>
      </w:pPr>
      <w:r>
        <w:t xml:space="preserve">The following table outlines the key aspects to test and the recommended techniques: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Technique</w:t>
            </w:r>
          </w:p>
        </w:tc>
        <w:tc>
          <w:tcPr/>
          <w:p>
            <w:pPr>
              <w:pStyle w:val="Compact"/>
              <w:jc w:val="left"/>
            </w:pPr>
            <w:r>
              <w:t xml:space="preserve">Tools</w:t>
            </w:r>
          </w:p>
        </w:tc>
      </w:tr>
      <w:tr>
        <w:tc>
          <w:tcPr/>
          <w:p>
            <w:pPr>
              <w:pStyle w:val="Compact"/>
              <w:jc w:val="left"/>
            </w:pPr>
            <w:r>
              <w:rPr>
                <w:bCs/>
                <w:b/>
              </w:rPr>
              <w:t xml:space="preserve">Consensus safety</w:t>
            </w:r>
          </w:p>
        </w:tc>
        <w:tc>
          <w:tcPr/>
          <w:p>
            <w:pPr>
              <w:pStyle w:val="Compact"/>
              <w:jc w:val="left"/>
            </w:pPr>
            <w:r>
              <w:t xml:space="preserve">Property‑based testing of safety invariants under randomized adversarial actions.</w:t>
            </w:r>
          </w:p>
        </w:tc>
        <w:tc>
          <w:tcPr/>
          <w:p>
            <w:pPr>
              <w:pStyle w:val="Compact"/>
              <w:jc w:val="left"/>
            </w:pPr>
            <w:r>
              <w:t xml:space="preserve">QuickCheck (Haskell), proptest (Rust), Hypothesis (Python)</w:t>
            </w:r>
          </w:p>
        </w:tc>
      </w:tr>
      <w:tr>
        <w:tc>
          <w:tcPr/>
          <w:p>
            <w:pPr>
              <w:pStyle w:val="Compact"/>
              <w:jc w:val="left"/>
            </w:pPr>
            <w:r>
              <w:rPr>
                <w:bCs/>
                <w:b/>
              </w:rPr>
              <w:t xml:space="preserve">View changes</w:t>
            </w:r>
          </w:p>
        </w:tc>
        <w:tc>
          <w:tcPr/>
          <w:p>
            <w:pPr>
              <w:pStyle w:val="Compact"/>
              <w:jc w:val="left"/>
            </w:pPr>
            <w:r>
              <w:t xml:space="preserve">Simulate leader failures, network partitions and message delays to ensure view changes occur and liveness is preserved.</w:t>
            </w:r>
          </w:p>
        </w:tc>
        <w:tc>
          <w:tcPr/>
          <w:p>
            <w:pPr>
              <w:pStyle w:val="Compact"/>
              <w:jc w:val="left"/>
            </w:pPr>
            <w:r>
              <w:t xml:space="preserve">Deterministic simulator (e.g.,</w:t>
            </w:r>
            <w:r>
              <w:t xml:space="preserve"> </w:t>
            </w:r>
            <w:r>
              <w:rPr>
                <w:rStyle w:val="VerbatimChar"/>
              </w:rPr>
              <w:t xml:space="preserve">simba</w:t>
            </w:r>
            <w:r>
              <w:t xml:space="preserve">), network emulation via</w:t>
            </w:r>
            <w:r>
              <w:t xml:space="preserve"> </w:t>
            </w:r>
            <w:r>
              <w:rPr>
                <w:rStyle w:val="VerbatimChar"/>
              </w:rPr>
              <w:t xml:space="preserve">libp2p</w:t>
            </w:r>
            <w:r>
              <w:t xml:space="preserve"> </w:t>
            </w:r>
            <w:r>
              <w:t xml:space="preserve">test harness</w:t>
            </w:r>
          </w:p>
        </w:tc>
      </w:tr>
      <w:tr>
        <w:tc>
          <w:tcPr/>
          <w:p>
            <w:pPr>
              <w:pStyle w:val="Compact"/>
              <w:jc w:val="left"/>
            </w:pPr>
            <w:r>
              <w:rPr>
                <w:bCs/>
                <w:b/>
              </w:rPr>
              <w:t xml:space="preserve">Weighted quorums</w:t>
            </w:r>
          </w:p>
        </w:tc>
        <w:tc>
          <w:tcPr/>
          <w:p>
            <w:pPr>
              <w:pStyle w:val="Compact"/>
              <w:jc w:val="left"/>
            </w:pPr>
            <w:r>
              <w:t xml:space="preserve">Randomly generate validator weight distributions and ensure that QCs are accepted only when the weighted sum ≥ threshold.</w:t>
            </w:r>
          </w:p>
        </w:tc>
        <w:tc>
          <w:tcPr/>
          <w:p>
            <w:pPr>
              <w:pStyle w:val="Compact"/>
              <w:jc w:val="left"/>
            </w:pPr>
            <w:r>
              <w:t xml:space="preserve">QuickCheck properties; integration tests with real stake distribution</w:t>
            </w:r>
          </w:p>
        </w:tc>
      </w:tr>
      <w:tr>
        <w:tc>
          <w:tcPr/>
          <w:p>
            <w:pPr>
              <w:pStyle w:val="Compact"/>
              <w:jc w:val="left"/>
            </w:pPr>
            <w:r>
              <w:rPr>
                <w:bCs/>
                <w:b/>
              </w:rPr>
              <w:t xml:space="preserve">Aegis signature verification</w:t>
            </w:r>
          </w:p>
        </w:tc>
        <w:tc>
          <w:tcPr/>
          <w:p>
            <w:pPr>
              <w:pStyle w:val="Compact"/>
              <w:jc w:val="left"/>
            </w:pPr>
            <w:r>
              <w:t xml:space="preserve">Fuzz signature inputs and ensure invalid signatures are rejected; test aggregation correctness.</w:t>
            </w:r>
          </w:p>
        </w:tc>
        <w:tc>
          <w:tcPr/>
          <w:p>
            <w:pPr>
              <w:pStyle w:val="Compact"/>
              <w:jc w:val="left"/>
            </w:pPr>
            <w:r>
              <w:t xml:space="preserve">Unit tests; known‑answer tests; Aegis reference vectors</w:t>
            </w:r>
          </w:p>
        </w:tc>
      </w:tr>
      <w:tr>
        <w:tc>
          <w:tcPr/>
          <w:p>
            <w:pPr>
              <w:pStyle w:val="Compact"/>
              <w:jc w:val="left"/>
            </w:pPr>
            <w:r>
              <w:rPr>
                <w:bCs/>
                <w:b/>
              </w:rPr>
              <w:t xml:space="preserve">SXCP attestation validity</w:t>
            </w:r>
          </w:p>
        </w:tc>
        <w:tc>
          <w:tcPr/>
          <w:p>
            <w:pPr>
              <w:pStyle w:val="Compact"/>
              <w:jc w:val="left"/>
            </w:pPr>
            <w:r>
              <w:t xml:space="preserve">Feed synthetic cross‑chain data, simulate reorgs and ensure that attestations are updated correctly or rejected.</w:t>
            </w:r>
          </w:p>
        </w:tc>
        <w:tc>
          <w:tcPr/>
          <w:p>
            <w:pPr>
              <w:pStyle w:val="Compact"/>
              <w:jc w:val="left"/>
            </w:pPr>
            <w:r>
              <w:t xml:space="preserve">Off‑chain harness connecting to Ethereum, Bitcoin regtest, Solana devnet</w:t>
            </w:r>
          </w:p>
        </w:tc>
      </w:tr>
      <w:tr>
        <w:tc>
          <w:tcPr/>
          <w:p>
            <w:pPr>
              <w:pStyle w:val="Compact"/>
              <w:jc w:val="left"/>
            </w:pPr>
            <w:r>
              <w:rPr>
                <w:bCs/>
                <w:b/>
              </w:rPr>
              <w:t xml:space="preserve">Slashing triggers</w:t>
            </w:r>
          </w:p>
        </w:tc>
        <w:tc>
          <w:tcPr/>
          <w:p>
            <w:pPr>
              <w:pStyle w:val="Compact"/>
              <w:jc w:val="left"/>
            </w:pPr>
            <w:r>
              <w:t xml:space="preserve">Construct evidence objects for each offence and verify that slashing is executed correctly; test appeal logic.</w:t>
            </w:r>
          </w:p>
        </w:tc>
        <w:tc>
          <w:tcPr/>
          <w:p>
            <w:pPr>
              <w:pStyle w:val="Compact"/>
              <w:jc w:val="left"/>
            </w:pPr>
            <w:r>
              <w:t xml:space="preserve">Unit tests on evidence verifier (§9)</w:t>
            </w:r>
          </w:p>
        </w:tc>
      </w:tr>
      <w:tr>
        <w:tc>
          <w:tcPr/>
          <w:p>
            <w:pPr>
              <w:pStyle w:val="Compact"/>
              <w:jc w:val="left"/>
            </w:pPr>
            <w:r>
              <w:rPr>
                <w:bCs/>
                <w:b/>
              </w:rPr>
              <w:t xml:space="preserve">Randomness beacon</w:t>
            </w:r>
          </w:p>
        </w:tc>
        <w:tc>
          <w:tcPr/>
          <w:p>
            <w:pPr>
              <w:pStyle w:val="Compact"/>
              <w:jc w:val="left"/>
            </w:pPr>
            <w:r>
              <w:t xml:space="preserve">Test DKG and commit‑reveal fallback under partial participation; ensure unbiased output.</w:t>
            </w:r>
          </w:p>
        </w:tc>
        <w:tc>
          <w:tcPr/>
          <w:p>
            <w:pPr>
              <w:pStyle w:val="Compact"/>
              <w:jc w:val="left"/>
            </w:pPr>
            <w:r>
              <w:t xml:space="preserve">Simulate various offline fractions; statistical tests on randomness uniformity</w:t>
            </w:r>
          </w:p>
        </w:tc>
      </w:tr>
      <w:tr>
        <w:tc>
          <w:tcPr/>
          <w:p>
            <w:pPr>
              <w:pStyle w:val="Compact"/>
              <w:jc w:val="left"/>
            </w:pPr>
            <w:r>
              <w:rPr>
                <w:bCs/>
                <w:b/>
              </w:rPr>
              <w:t xml:space="preserve">Data availability</w:t>
            </w:r>
          </w:p>
        </w:tc>
        <w:tc>
          <w:tcPr/>
          <w:p>
            <w:pPr>
              <w:pStyle w:val="Compact"/>
              <w:jc w:val="left"/>
            </w:pPr>
            <w:r>
              <w:t xml:space="preserve">Sample DA network performance, test erasure coding and sampling; ensure full block data can be reconstructed from samples.</w:t>
            </w:r>
          </w:p>
        </w:tc>
        <w:tc>
          <w:tcPr/>
          <w:p>
            <w:pPr>
              <w:pStyle w:val="Compact"/>
              <w:jc w:val="left"/>
            </w:pPr>
            <w:r>
              <w:t xml:space="preserve">DA sampling harness; integration with erasure coding libraries</w:t>
            </w:r>
          </w:p>
        </w:tc>
      </w:tr>
    </w:tbl>
    <w:bookmarkEnd w:id="20"/>
    <w:bookmarkStart w:id="21" w:name="longrun-testnet-and-chaos-testing"/>
    <w:p>
      <w:pPr>
        <w:pStyle w:val="Heading2"/>
      </w:pPr>
      <w:r>
        <w:t xml:space="preserve">15.2 Long‑Run Testnet and Chaos Testing</w:t>
      </w:r>
    </w:p>
    <w:p>
      <w:pPr>
        <w:pStyle w:val="FirstParagraph"/>
      </w:pPr>
      <w:r>
        <w:t xml:space="preserve">A persistent testnet is used to perform long‑run liveness tests. Validators with varying geographic distribution and weight profiles run real nodes for weeks, while adversarial agents deliberately drop messages, send malformed votes or attempt to eclipse subsets of validators. Observables such as block production rate, finality time and slashing events are recorded.</w:t>
      </w:r>
    </w:p>
    <w:p>
      <w:pPr>
        <w:pStyle w:val="BodyText"/>
      </w:pPr>
      <w:r>
        <w:rPr>
          <w:bCs/>
          <w:b/>
        </w:rPr>
        <w:t xml:space="preserve">Chaos testing</w:t>
      </w:r>
      <w:r>
        <w:t xml:space="preserve"> </w:t>
      </w:r>
      <w:r>
        <w:t xml:space="preserve">involves intentionally injecting faults: killing leaders, partitioning networks, delaying SXCP attestations and orchestrating external chain reorgs. Tools like</w:t>
      </w:r>
      <w:r>
        <w:t xml:space="preserve"> </w:t>
      </w:r>
      <w:r>
        <w:rPr>
          <w:rStyle w:val="VerbatimChar"/>
        </w:rPr>
        <w:t xml:space="preserve">chaos‑monkey</w:t>
      </w:r>
      <w:r>
        <w:t xml:space="preserve"> </w:t>
      </w:r>
      <w:r>
        <w:t xml:space="preserve">or Kubernetes fault injection can be employed. Metrics collected include mean time to recovery, proportion of successful checkpoints and rate of false slashes.</w:t>
      </w:r>
    </w:p>
    <w:bookmarkEnd w:id="21"/>
    <w:bookmarkStart w:id="22" w:name="formal-verification"/>
    <w:p>
      <w:pPr>
        <w:pStyle w:val="Heading2"/>
      </w:pPr>
      <w:r>
        <w:t xml:space="preserve">15.3 Formal Verification</w:t>
      </w:r>
    </w:p>
    <w:p>
      <w:pPr>
        <w:pStyle w:val="FirstParagraph"/>
      </w:pPr>
      <w:r>
        <w:t xml:space="preserve">Formal methods complement empirical testing. The PlusCal/TLA+ specification from §14 should be model checked using tools such as</w:t>
      </w:r>
      <w:r>
        <w:t xml:space="preserve"> </w:t>
      </w:r>
      <w:r>
        <w:rPr>
          <w:bCs/>
          <w:b/>
        </w:rPr>
        <w:t xml:space="preserve">TLC</w:t>
      </w:r>
      <w:r>
        <w:t xml:space="preserve"> </w:t>
      </w:r>
      <w:r>
        <w:t xml:space="preserve">or</w:t>
      </w:r>
      <w:r>
        <w:t xml:space="preserve"> </w:t>
      </w:r>
      <w:r>
        <w:rPr>
          <w:bCs/>
          <w:b/>
        </w:rPr>
        <w:t xml:space="preserve">Apalache</w:t>
      </w:r>
      <w:r>
        <w:t xml:space="preserve">. Properties to verify include:</w:t>
      </w:r>
    </w:p>
    <w:p>
      <w:pPr>
        <w:numPr>
          <w:ilvl w:val="0"/>
          <w:numId w:val="1001"/>
        </w:numPr>
        <w:pStyle w:val="Compact"/>
      </w:pPr>
      <w:r>
        <w:rPr>
          <w:bCs/>
          <w:b/>
        </w:rPr>
        <w:t xml:space="preserve">Safety:</w:t>
      </w:r>
      <w:r>
        <w:t xml:space="preserve"> </w:t>
      </w:r>
      <w:r>
        <w:t xml:space="preserve">It is impossible for two distinct blocks at the same height to both be finalized.</w:t>
      </w:r>
    </w:p>
    <w:p>
      <w:pPr>
        <w:numPr>
          <w:ilvl w:val="0"/>
          <w:numId w:val="1001"/>
        </w:numPr>
        <w:pStyle w:val="Compact"/>
      </w:pPr>
      <w:r>
        <w:rPr>
          <w:bCs/>
          <w:b/>
        </w:rPr>
        <w:t xml:space="preserve">Liveness:</w:t>
      </w:r>
      <w:r>
        <w:t xml:space="preserve"> </w:t>
      </w:r>
      <w:r>
        <w:t xml:space="preserve">Assuming at most f weight is Byzantine and the network eventually becomes synchronous, a block is eventually finalized.</w:t>
      </w:r>
    </w:p>
    <w:p>
      <w:pPr>
        <w:numPr>
          <w:ilvl w:val="0"/>
          <w:numId w:val="1001"/>
        </w:numPr>
        <w:pStyle w:val="Compact"/>
      </w:pPr>
      <w:r>
        <w:rPr>
          <w:bCs/>
          <w:b/>
        </w:rPr>
        <w:t xml:space="preserve">Randomness liveness:</w:t>
      </w:r>
      <w:r>
        <w:t xml:space="preserve"> </w:t>
      </w:r>
      <w:r>
        <w:t xml:space="preserve">The DKG either produces valid randomness or falls back to commit‑reveal within a bounded number of rounds.</w:t>
      </w:r>
    </w:p>
    <w:p>
      <w:pPr>
        <w:numPr>
          <w:ilvl w:val="0"/>
          <w:numId w:val="1001"/>
        </w:numPr>
        <w:pStyle w:val="Compact"/>
      </w:pPr>
      <w:r>
        <w:rPr>
          <w:bCs/>
          <w:b/>
        </w:rPr>
        <w:t xml:space="preserve">Slashing correctness:</w:t>
      </w:r>
      <w:r>
        <w:t xml:space="preserve"> </w:t>
      </w:r>
      <w:r>
        <w:t xml:space="preserve">Whenever evidence is valid, the accused validator is slashed exactly once.</w:t>
      </w:r>
    </w:p>
    <w:p>
      <w:pPr>
        <w:pStyle w:val="FirstParagraph"/>
      </w:pPr>
      <w:r>
        <w:t xml:space="preserve">Bounded model checking will explore all possible behaviors up to a certain number of rounds and validate that invariants hold. Property 2 may require fairness assumptions in the model.</w:t>
      </w:r>
    </w:p>
    <w:bookmarkEnd w:id="22"/>
    <w:bookmarkStart w:id="23" w:name="test-vector-repository"/>
    <w:p>
      <w:pPr>
        <w:pStyle w:val="Heading2"/>
      </w:pPr>
      <w:r>
        <w:t xml:space="preserve">15.4 Test Vector Repository</w:t>
      </w:r>
    </w:p>
    <w:p>
      <w:pPr>
        <w:pStyle w:val="FirstParagraph"/>
      </w:pPr>
      <w:r>
        <w:t xml:space="preserve">A repository of deterministic test vectors should accompany this specification. Each vector specifies inputs (block headers, votes, attestations, randomness seeds), expected outputs (hashes, QC validity, reward distribution) and cryptographic proofs. Appendix G catalogues the available vectors. Implementations must pass all test vectors before deployment.</w:t>
      </w:r>
    </w:p>
    <w:p>
      <w:pPr>
        <w:pStyle w:val="BodyText"/>
      </w:pPr>
      <w:r>
        <w:t xml:space="preserve">Testing is an ongoing process. As new modules (e.g., advanced Aegis VRFs or aggregate multisig research) are integrated, the test matrix should be extended accordingly. All test results and bug reports must be documented and cross‑referenced with the relevant sections of this specification.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2025-10-17T07:06:40Z</dcterms:created>
  <dcterms:modified xsi:type="dcterms:W3CDTF">2025-10-17T07:06:40Z</dcterms:modified>
</cp:coreProperties>
</file>

<file path=docProps/custom.xml><?xml version="1.0" encoding="utf-8"?>
<Properties xmlns="http://schemas.openxmlformats.org/officeDocument/2006/custom-properties" xmlns:vt="http://schemas.openxmlformats.org/officeDocument/2006/docPropsVTypes"/>
</file>