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open-questions-and-future-work"/>
    <w:p>
      <w:pPr>
        <w:pStyle w:val="Heading1"/>
      </w:pPr>
      <w:r>
        <w:t xml:space="preserve">16 Open Questions and Future Work</w:t>
      </w:r>
    </w:p>
    <w:p>
      <w:pPr>
        <w:pStyle w:val="FirstParagraph"/>
      </w:pPr>
      <w:r>
        <w:t xml:space="preserve">While PoSy and the SXCP provide a robust foundation for cross‑chain consensus, several research questions and design choices remain open. This section enumerates outstanding issues, categorizes them by impact and proposes next steps.</w:t>
      </w:r>
    </w:p>
    <w:bookmarkStart w:id="20" w:name="risk-ranking"/>
    <w:p>
      <w:pPr>
        <w:pStyle w:val="Heading2"/>
      </w:pPr>
      <w:r>
        <w:t xml:space="preserve">16.1 Risk Ranking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 / Question</w:t>
            </w:r>
          </w:p>
        </w:tc>
        <w:tc>
          <w:tcPr/>
          <w:p>
            <w:pPr>
              <w:pStyle w:val="Compact"/>
              <w:jc w:val="left"/>
            </w:pPr>
            <w:r>
              <w:t xml:space="preserve">Impact (safety vs throughput)</w:t>
            </w:r>
          </w:p>
        </w:tc>
        <w:tc>
          <w:tcPr/>
          <w:p>
            <w:pPr>
              <w:pStyle w:val="Compact"/>
              <w:jc w:val="left"/>
            </w:pPr>
            <w:r>
              <w:t xml:space="preserve">Priority</w:t>
            </w:r>
          </w:p>
        </w:tc>
        <w:tc>
          <w:tcPr/>
          <w:p>
            <w:pPr>
              <w:pStyle w:val="Compact"/>
              <w:jc w:val="left"/>
            </w:pPr>
            <w:r>
              <w:t xml:space="preserve">Suggested Owner</w:t>
            </w:r>
          </w:p>
        </w:tc>
        <w:tc>
          <w:tcPr/>
          <w:p>
            <w:pPr>
              <w:pStyle w:val="Compact"/>
              <w:jc w:val="left"/>
            </w:pPr>
            <w:r>
              <w:t xml:space="preserve">Exit Criteria</w:t>
            </w:r>
          </w:p>
        </w:tc>
      </w:tr>
      <w:tr>
        <w:tc>
          <w:tcPr/>
          <w:p>
            <w:pPr>
              <w:pStyle w:val="Compact"/>
              <w:jc w:val="left"/>
            </w:pPr>
            <w:r>
              <w:rPr>
                <w:bCs/>
                <w:b/>
              </w:rPr>
              <w:t xml:space="preserve">Aegis VRF Scalability</w:t>
            </w:r>
          </w:p>
        </w:tc>
        <w:tc>
          <w:tcPr/>
          <w:p>
            <w:pPr>
              <w:pStyle w:val="Compact"/>
              <w:jc w:val="left"/>
            </w:pPr>
            <w:r>
              <w:t xml:space="preserve">Throughput: verifying VRF proofs may become a bottleneck as validator count grows.</w:t>
            </w:r>
          </w:p>
        </w:tc>
        <w:tc>
          <w:tcPr/>
          <w:p>
            <w:pPr>
              <w:pStyle w:val="Compact"/>
              <w:jc w:val="left"/>
            </w:pPr>
            <w:r>
              <w:t xml:space="preserve">High</w:t>
            </w:r>
          </w:p>
        </w:tc>
        <w:tc>
          <w:tcPr/>
          <w:p>
            <w:pPr>
              <w:pStyle w:val="Compact"/>
              <w:jc w:val="left"/>
            </w:pPr>
            <w:r>
              <w:t xml:space="preserve">Cryptography WG</w:t>
            </w:r>
          </w:p>
        </w:tc>
        <w:tc>
          <w:tcPr/>
          <w:p>
            <w:pPr>
              <w:pStyle w:val="Compact"/>
              <w:jc w:val="left"/>
            </w:pPr>
            <w:r>
              <w:t xml:space="preserve">Benchmark VRF verification throughput; evaluate hardware acceleration; integrate new VRF primitives if necessary.</w:t>
            </w:r>
          </w:p>
        </w:tc>
      </w:tr>
      <w:tr>
        <w:tc>
          <w:tcPr/>
          <w:p>
            <w:pPr>
              <w:pStyle w:val="Compact"/>
              <w:jc w:val="left"/>
            </w:pPr>
            <w:r>
              <w:rPr>
                <w:bCs/>
                <w:b/>
              </w:rPr>
              <w:t xml:space="preserve">Aggregate Multisignatures</w:t>
            </w:r>
          </w:p>
        </w:tc>
        <w:tc>
          <w:tcPr/>
          <w:p>
            <w:pPr>
              <w:pStyle w:val="Compact"/>
              <w:jc w:val="left"/>
            </w:pPr>
            <w:r>
              <w:t xml:space="preserve">Both safety and throughput: replacing per‑validator signatures with a true multisignature could reduce QC size but may introduce new aggregation failures.</w:t>
            </w:r>
          </w:p>
        </w:tc>
        <w:tc>
          <w:tcPr/>
          <w:p>
            <w:pPr>
              <w:pStyle w:val="Compact"/>
              <w:jc w:val="left"/>
            </w:pPr>
            <w:r>
              <w:t xml:space="preserve">High</w:t>
            </w:r>
          </w:p>
        </w:tc>
        <w:tc>
          <w:tcPr/>
          <w:p>
            <w:pPr>
              <w:pStyle w:val="Compact"/>
              <w:jc w:val="left"/>
            </w:pPr>
            <w:r>
              <w:t xml:space="preserve">Research WG</w:t>
            </w:r>
          </w:p>
        </w:tc>
        <w:tc>
          <w:tcPr/>
          <w:p>
            <w:pPr>
              <w:pStyle w:val="Compact"/>
              <w:jc w:val="left"/>
            </w:pPr>
            <w:r>
              <w:t xml:space="preserve">Design and prototype an Aegis‑compatible multisignature; prove security; measure overhead.</w:t>
            </w:r>
          </w:p>
        </w:tc>
      </w:tr>
      <w:tr>
        <w:tc>
          <w:tcPr/>
          <w:p>
            <w:pPr>
              <w:pStyle w:val="Compact"/>
              <w:jc w:val="left"/>
            </w:pPr>
            <w:r>
              <w:rPr>
                <w:bCs/>
                <w:b/>
              </w:rPr>
              <w:t xml:space="preserve">Adaptive Weight Updates</w:t>
            </w:r>
          </w:p>
        </w:tc>
        <w:tc>
          <w:tcPr/>
          <w:p>
            <w:pPr>
              <w:pStyle w:val="Compact"/>
              <w:jc w:val="left"/>
            </w:pPr>
            <w:r>
              <w:t xml:space="preserve">Safety: dynamic stake shifts mid‑epoch could break quorum calculations.</w:t>
            </w:r>
          </w:p>
        </w:tc>
        <w:tc>
          <w:tcPr/>
          <w:p>
            <w:pPr>
              <w:pStyle w:val="Compact"/>
              <w:jc w:val="left"/>
            </w:pPr>
            <w:r>
              <w:t xml:space="preserve">Medium</w:t>
            </w:r>
          </w:p>
        </w:tc>
        <w:tc>
          <w:tcPr/>
          <w:p>
            <w:pPr>
              <w:pStyle w:val="Compact"/>
              <w:jc w:val="left"/>
            </w:pPr>
            <w:r>
              <w:t xml:space="preserve">Consensus WG</w:t>
            </w:r>
          </w:p>
        </w:tc>
        <w:tc>
          <w:tcPr/>
          <w:p>
            <w:pPr>
              <w:pStyle w:val="Compact"/>
              <w:jc w:val="left"/>
            </w:pPr>
            <w:r>
              <w:t xml:space="preserve">Investigate partial updates within epochs with additional safety margin; formalize proofs.</w:t>
            </w:r>
          </w:p>
        </w:tc>
      </w:tr>
      <w:tr>
        <w:tc>
          <w:tcPr/>
          <w:p>
            <w:pPr>
              <w:pStyle w:val="Compact"/>
              <w:jc w:val="left"/>
            </w:pPr>
            <w:r>
              <w:rPr>
                <w:bCs/>
                <w:b/>
              </w:rPr>
              <w:t xml:space="preserve">MEV Mitigation</w:t>
            </w:r>
          </w:p>
        </w:tc>
        <w:tc>
          <w:tcPr/>
          <w:p>
            <w:pPr>
              <w:pStyle w:val="Compact"/>
              <w:jc w:val="left"/>
            </w:pPr>
            <w:r>
              <w:t xml:space="preserve">Throughput and user fairness: residual MEV may still exist despite PBS policy.</w:t>
            </w:r>
          </w:p>
        </w:tc>
        <w:tc>
          <w:tcPr/>
          <w:p>
            <w:pPr>
              <w:pStyle w:val="Compact"/>
              <w:jc w:val="left"/>
            </w:pPr>
            <w:r>
              <w:t xml:space="preserve">Medium</w:t>
            </w:r>
          </w:p>
        </w:tc>
        <w:tc>
          <w:tcPr/>
          <w:p>
            <w:pPr>
              <w:pStyle w:val="Compact"/>
              <w:jc w:val="left"/>
            </w:pPr>
            <w:r>
              <w:t xml:space="preserve">Economics WG</w:t>
            </w:r>
          </w:p>
        </w:tc>
        <w:tc>
          <w:tcPr/>
          <w:p>
            <w:pPr>
              <w:pStyle w:val="Compact"/>
              <w:jc w:val="left"/>
            </w:pPr>
            <w:r>
              <w:t xml:space="preserve">Experiment with auction formats, builder commitments and fairness protocols; measure user impact.</w:t>
            </w:r>
          </w:p>
        </w:tc>
      </w:tr>
      <w:tr>
        <w:tc>
          <w:tcPr/>
          <w:p>
            <w:pPr>
              <w:pStyle w:val="Compact"/>
              <w:jc w:val="left"/>
            </w:pPr>
            <w:r>
              <w:rPr>
                <w:bCs/>
                <w:b/>
              </w:rPr>
              <w:t xml:space="preserve">Censorship Resistance in SXCP</w:t>
            </w:r>
          </w:p>
        </w:tc>
        <w:tc>
          <w:tcPr/>
          <w:p>
            <w:pPr>
              <w:pStyle w:val="Compact"/>
              <w:jc w:val="left"/>
            </w:pPr>
            <w:r>
              <w:t xml:space="preserve">Safety: relayer collusion could censor cross‑chain events.</w:t>
            </w:r>
          </w:p>
        </w:tc>
        <w:tc>
          <w:tcPr/>
          <w:p>
            <w:pPr>
              <w:pStyle w:val="Compact"/>
              <w:jc w:val="left"/>
            </w:pPr>
            <w:r>
              <w:t xml:space="preserve">Medium</w:t>
            </w:r>
          </w:p>
        </w:tc>
        <w:tc>
          <w:tcPr/>
          <w:p>
            <w:pPr>
              <w:pStyle w:val="Compact"/>
              <w:jc w:val="left"/>
            </w:pPr>
            <w:r>
              <w:t xml:space="preserve">SXCP WG</w:t>
            </w:r>
          </w:p>
        </w:tc>
        <w:tc>
          <w:tcPr/>
          <w:p>
            <w:pPr>
              <w:pStyle w:val="Compact"/>
              <w:jc w:val="left"/>
            </w:pPr>
            <w:r>
              <w:t xml:space="preserve">Design randomized relayer selection; explore zero‑knowledge proof of inclusion; prototype challenge games.</w:t>
            </w:r>
          </w:p>
        </w:tc>
      </w:tr>
      <w:tr>
        <w:tc>
          <w:tcPr/>
          <w:p>
            <w:pPr>
              <w:pStyle w:val="Compact"/>
              <w:jc w:val="left"/>
            </w:pPr>
            <w:r>
              <w:rPr>
                <w:bCs/>
                <w:b/>
              </w:rPr>
              <w:t xml:space="preserve">Quantum Attack Resistance</w:t>
            </w:r>
          </w:p>
        </w:tc>
        <w:tc>
          <w:tcPr/>
          <w:p>
            <w:pPr>
              <w:pStyle w:val="Compact"/>
              <w:jc w:val="left"/>
            </w:pPr>
            <w:r>
              <w:t xml:space="preserve">Safety: Aegis is designed to be quantum‑safe, but future quantum advances may weaken assumptions.</w:t>
            </w:r>
          </w:p>
        </w:tc>
        <w:tc>
          <w:tcPr/>
          <w:p>
            <w:pPr>
              <w:pStyle w:val="Compact"/>
              <w:jc w:val="left"/>
            </w:pPr>
            <w:r>
              <w:t xml:space="preserve">Low</w:t>
            </w:r>
          </w:p>
        </w:tc>
        <w:tc>
          <w:tcPr/>
          <w:p>
            <w:pPr>
              <w:pStyle w:val="Compact"/>
              <w:jc w:val="left"/>
            </w:pPr>
            <w:r>
              <w:t xml:space="preserve">Cryptography WG</w:t>
            </w:r>
          </w:p>
        </w:tc>
        <w:tc>
          <w:tcPr/>
          <w:p>
            <w:pPr>
              <w:pStyle w:val="Compact"/>
              <w:jc w:val="left"/>
            </w:pPr>
            <w:r>
              <w:t xml:space="preserve">Participate in ongoing PQC standardization; monitor cryptanalytic advances; plan migration path.</w:t>
            </w:r>
          </w:p>
        </w:tc>
      </w:tr>
    </w:tbl>
    <w:bookmarkEnd w:id="20"/>
    <w:bookmarkStart w:id="21" w:name="research-items"/>
    <w:p>
      <w:pPr>
        <w:pStyle w:val="Heading2"/>
      </w:pPr>
      <w:r>
        <w:t xml:space="preserve">16.2 Research Items</w:t>
      </w:r>
    </w:p>
    <w:p>
      <w:pPr>
        <w:numPr>
          <w:ilvl w:val="0"/>
          <w:numId w:val="1001"/>
        </w:numPr>
        <w:pStyle w:val="Compact"/>
      </w:pPr>
      <w:r>
        <w:rPr>
          <w:bCs/>
          <w:b/>
        </w:rPr>
        <w:t xml:space="preserve">Aegis VRF improvements:</w:t>
      </w:r>
      <w:r>
        <w:t xml:space="preserve"> </w:t>
      </w:r>
      <w:r>
        <w:t xml:space="preserve">Investigate whether the Aegis VRF can be optimized or replaced with more efficient primitives without sacrificing security. Explore polynomial commitments and verifiable delay functions as alternatives.</w:t>
      </w:r>
    </w:p>
    <w:p>
      <w:pPr>
        <w:numPr>
          <w:ilvl w:val="0"/>
          <w:numId w:val="1001"/>
        </w:numPr>
        <w:pStyle w:val="Compact"/>
      </w:pPr>
      <w:r>
        <w:rPr>
          <w:bCs/>
          <w:b/>
        </w:rPr>
        <w:t xml:space="preserve">Aggregate multisignatures:</w:t>
      </w:r>
      <w:r>
        <w:t xml:space="preserve"> </w:t>
      </w:r>
      <w:r>
        <w:t xml:space="preserve">Develop an aggregate signature scheme compatible with the Aegis key format to reduce signature overhead in QCs and SXCP proofs. Prove that security reduces to the hardness assumptions underlying Aegis.</w:t>
      </w:r>
    </w:p>
    <w:p>
      <w:pPr>
        <w:numPr>
          <w:ilvl w:val="0"/>
          <w:numId w:val="1001"/>
        </w:numPr>
        <w:pStyle w:val="Compact"/>
      </w:pPr>
      <w:r>
        <w:rPr>
          <w:bCs/>
          <w:b/>
        </w:rPr>
        <w:t xml:space="preserve">Adaptive committee sampling:</w:t>
      </w:r>
      <w:r>
        <w:t xml:space="preserve"> </w:t>
      </w:r>
      <w:r>
        <w:t xml:space="preserve">Study schemes that adjust committee size based on network conditions, e.g., larger committees during high load or adversarial periods, smaller committees when network is stable.</w:t>
      </w:r>
    </w:p>
    <w:p>
      <w:pPr>
        <w:numPr>
          <w:ilvl w:val="0"/>
          <w:numId w:val="1001"/>
        </w:numPr>
        <w:pStyle w:val="Compact"/>
      </w:pPr>
      <w:r>
        <w:rPr>
          <w:bCs/>
          <w:b/>
        </w:rPr>
        <w:t xml:space="preserve">Enhanced slashing appeal process:</w:t>
      </w:r>
      <w:r>
        <w:t xml:space="preserve"> </w:t>
      </w:r>
      <w:r>
        <w:t xml:space="preserve">Explore decentralized jury systems or AI‑assisted adjudication for evidence disputes. Analyze trade‑offs between speed and fairness.</w:t>
      </w:r>
    </w:p>
    <w:p>
      <w:pPr>
        <w:numPr>
          <w:ilvl w:val="0"/>
          <w:numId w:val="1001"/>
        </w:numPr>
        <w:pStyle w:val="Compact"/>
      </w:pPr>
      <w:r>
        <w:rPr>
          <w:bCs/>
          <w:b/>
        </w:rPr>
        <w:t xml:space="preserve">Light client optimizations:</w:t>
      </w:r>
      <w:r>
        <w:t xml:space="preserve"> </w:t>
      </w:r>
      <w:r>
        <w:t xml:space="preserve">Research stateless light client protocols for PoSy so that low‑resource devices can verify consensus without downloading large headers. Consider succinct proofs of validator sets and QCs.</w:t>
      </w:r>
    </w:p>
    <w:p>
      <w:pPr>
        <w:pStyle w:val="FirstParagraph"/>
      </w:pPr>
      <w:r>
        <w:t xml:space="preserve">Community contributions are welcomed. Each research item should be tracked via an issue in the development repository with associated milestones. Updates will be published in future versions of this specification and referenced in §22.</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2025-10-17T07:06:40Z</dcterms:created>
  <dcterms:modified xsi:type="dcterms:W3CDTF">2025-10-17T07:06:40Z</dcterms:modified>
</cp:coreProperties>
</file>

<file path=docProps/custom.xml><?xml version="1.0" encoding="utf-8"?>
<Properties xmlns="http://schemas.openxmlformats.org/officeDocument/2006/custom-properties" xmlns:vt="http://schemas.openxmlformats.org/officeDocument/2006/docPropsVTypes"/>
</file>