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mpatibility-and-interoperability"/>
    <w:p>
      <w:pPr>
        <w:pStyle w:val="Heading1"/>
      </w:pPr>
      <w:r>
        <w:t xml:space="preserve">19 Compatibility and Interoperability</w:t>
      </w:r>
    </w:p>
    <w:p>
      <w:pPr>
        <w:pStyle w:val="FirstParagraph"/>
      </w:pPr>
      <w:r>
        <w:t xml:space="preserve">Synergy’s Synergy Cross‑Chain Protocol (SXCP) enables trust‑minimized transfers of assets and messages between PoSy and external chains. Compatibility encompasses both data format alignment and operational coordination. This section documents the proof schemas for major external chains, defines reentrancy and failure unwind rules, and provides an API specification for precompiles that dApps may invoke.</w:t>
      </w:r>
    </w:p>
    <w:bookmarkStart w:id="23" w:name="proof-schemas"/>
    <w:p>
      <w:pPr>
        <w:pStyle w:val="Heading2"/>
      </w:pPr>
      <w:r>
        <w:t xml:space="preserve">19.1 Proof Schemas</w:t>
      </w:r>
    </w:p>
    <w:p>
      <w:pPr>
        <w:pStyle w:val="FirstParagraph"/>
      </w:pPr>
      <w:r>
        <w:t xml:space="preserve">SXCP supports multiple blockchains with diverse proof mechanisms. Each chain defines a</w:t>
      </w:r>
      <w:r>
        <w:t xml:space="preserve"> </w:t>
      </w:r>
      <w:r>
        <w:rPr>
          <w:bCs/>
          <w:b/>
        </w:rPr>
        <w:t xml:space="preserve">Proof Schema</w:t>
      </w:r>
      <w:r>
        <w:t xml:space="preserve"> </w:t>
      </w:r>
      <w:r>
        <w:t xml:space="preserve">specifying how to represent block headers, Merkle proofs and finality certificates in a standardized format:</w:t>
      </w:r>
    </w:p>
    <w:bookmarkStart w:id="20" w:name="ethereum"/>
    <w:p>
      <w:pPr>
        <w:pStyle w:val="Heading3"/>
      </w:pPr>
      <w:r>
        <w:t xml:space="preserve">Ethereum</w:t>
      </w:r>
    </w:p>
    <w:p>
      <w:pPr>
        <w:numPr>
          <w:ilvl w:val="0"/>
          <w:numId w:val="1001"/>
        </w:numPr>
        <w:pStyle w:val="Compact"/>
      </w:pPr>
      <w:r>
        <w:rPr>
          <w:bCs/>
          <w:b/>
        </w:rPr>
        <w:t xml:space="preserve">Header:</w:t>
      </w:r>
      <w:r>
        <w:t xml:space="preserve"> </w:t>
      </w:r>
      <w:r>
        <w:t xml:space="preserve">RLP‑encoded block header hashed with BLAKE3. Includes parent hash, state root, transactions root and receipts root.</w:t>
      </w:r>
    </w:p>
    <w:p>
      <w:pPr>
        <w:numPr>
          <w:ilvl w:val="0"/>
          <w:numId w:val="1001"/>
        </w:numPr>
        <w:pStyle w:val="Compact"/>
      </w:pPr>
      <w:r>
        <w:rPr>
          <w:bCs/>
          <w:b/>
        </w:rPr>
        <w:t xml:space="preserve">Proof:</w:t>
      </w:r>
      <w:r>
        <w:t xml:space="preserve"> </w:t>
      </w:r>
      <w:r>
        <w:t xml:space="preserve">An MPT (Merkle Patricia Trie) proof proving inclusion of a log or account. The proof is serialized as a list of nodes with node types, keys and values.</w:t>
      </w:r>
    </w:p>
    <w:p>
      <w:pPr>
        <w:numPr>
          <w:ilvl w:val="0"/>
          <w:numId w:val="1001"/>
        </w:numPr>
        <w:pStyle w:val="Compact"/>
      </w:pPr>
      <w:r>
        <w:rPr>
          <w:bCs/>
          <w:b/>
        </w:rPr>
        <w:t xml:space="preserve">Finality:</w:t>
      </w:r>
      <w:r>
        <w:t xml:space="preserve"> </w:t>
      </w:r>
      <w:r>
        <w:t xml:space="preserve">A checkpoint finality proof using a finality gadget (e.g., Gasper) or at least</w:t>
      </w:r>
      <w:r>
        <w:t xml:space="preserve"> </w:t>
      </w:r>
      <w:r>
        <w:rPr>
          <w:rStyle w:val="VerbatimChar"/>
        </w:rPr>
        <w:t xml:space="preserve">τ_ethereum = 12</w:t>
      </w:r>
      <w:r>
        <w:t xml:space="preserve"> </w:t>
      </w:r>
      <w:r>
        <w:t xml:space="preserve">block confirmations. The SXCP attestation includes the highest finalized block height and its hash.</w:t>
      </w:r>
    </w:p>
    <w:bookmarkEnd w:id="20"/>
    <w:bookmarkStart w:id="21" w:name="bitcoin"/>
    <w:p>
      <w:pPr>
        <w:pStyle w:val="Heading3"/>
      </w:pPr>
      <w:r>
        <w:t xml:space="preserve">Bitcoin</w:t>
      </w:r>
    </w:p>
    <w:p>
      <w:pPr>
        <w:numPr>
          <w:ilvl w:val="0"/>
          <w:numId w:val="1002"/>
        </w:numPr>
        <w:pStyle w:val="Compact"/>
      </w:pPr>
      <w:r>
        <w:rPr>
          <w:bCs/>
          <w:b/>
        </w:rPr>
        <w:t xml:space="preserve">Header:</w:t>
      </w:r>
      <w:r>
        <w:t xml:space="preserve"> </w:t>
      </w:r>
      <w:r>
        <w:t xml:space="preserve">80‑byte Bitcoin block header hashed via double SHA‑256 and domain‑separated to avoid collision with BLAKE3 structures.</w:t>
      </w:r>
    </w:p>
    <w:p>
      <w:pPr>
        <w:numPr>
          <w:ilvl w:val="0"/>
          <w:numId w:val="1002"/>
        </w:numPr>
        <w:pStyle w:val="Compact"/>
      </w:pPr>
      <w:r>
        <w:rPr>
          <w:bCs/>
          <w:b/>
        </w:rPr>
        <w:t xml:space="preserve">Proof:</w:t>
      </w:r>
      <w:r>
        <w:t xml:space="preserve"> </w:t>
      </w:r>
      <w:r>
        <w:t xml:space="preserve">A Merkle branch proving inclusion of a transaction or UTXO in the block. Endianness and little‑endian encoding details are captured in the schema.</w:t>
      </w:r>
    </w:p>
    <w:p>
      <w:pPr>
        <w:numPr>
          <w:ilvl w:val="0"/>
          <w:numId w:val="1002"/>
        </w:numPr>
        <w:pStyle w:val="Compact"/>
      </w:pPr>
      <w:r>
        <w:rPr>
          <w:bCs/>
          <w:b/>
        </w:rPr>
        <w:t xml:space="preserve">Finality:</w:t>
      </w:r>
      <w:r>
        <w:t xml:space="preserve"> </w:t>
      </w:r>
      <w:r>
        <w:rPr>
          <w:rStyle w:val="VerbatimChar"/>
        </w:rPr>
        <w:t xml:space="preserve">τ_bitcoin = 6</w:t>
      </w:r>
      <w:r>
        <w:t xml:space="preserve"> </w:t>
      </w:r>
      <w:r>
        <w:t xml:space="preserve">confirmations. The attestation provides the chain of headers up to the finalized block height to enable SPV verification.</w:t>
      </w:r>
    </w:p>
    <w:bookmarkEnd w:id="21"/>
    <w:bookmarkStart w:id="22" w:name="solana"/>
    <w:p>
      <w:pPr>
        <w:pStyle w:val="Heading3"/>
      </w:pPr>
      <w:r>
        <w:t xml:space="preserve">Solana</w:t>
      </w:r>
    </w:p>
    <w:p>
      <w:pPr>
        <w:numPr>
          <w:ilvl w:val="0"/>
          <w:numId w:val="1003"/>
        </w:numPr>
        <w:pStyle w:val="Compact"/>
      </w:pPr>
      <w:r>
        <w:rPr>
          <w:bCs/>
          <w:b/>
        </w:rPr>
        <w:t xml:space="preserve">Header:</w:t>
      </w:r>
      <w:r>
        <w:t xml:space="preserve"> </w:t>
      </w:r>
      <w:r>
        <w:t xml:space="preserve">Contains the blockhash, parent slot, state root and vote accounts root. Serialized using bincode and hashed with BLAKE3.</w:t>
      </w:r>
    </w:p>
    <w:p>
      <w:pPr>
        <w:numPr>
          <w:ilvl w:val="0"/>
          <w:numId w:val="1003"/>
        </w:numPr>
        <w:pStyle w:val="Compact"/>
      </w:pPr>
      <w:r>
        <w:rPr>
          <w:bCs/>
          <w:b/>
        </w:rPr>
        <w:t xml:space="preserve">Proof:</w:t>
      </w:r>
      <w:r>
        <w:t xml:space="preserve"> </w:t>
      </w:r>
      <w:r>
        <w:t xml:space="preserve">A parallel Merkle tree proof for the account or event. Because Solana does not provide deterministic finality, the attestation includes a recent supermajority signature set and</w:t>
      </w:r>
      <w:r>
        <w:t xml:space="preserve"> </w:t>
      </w:r>
      <w:r>
        <w:rPr>
          <w:rStyle w:val="VerbatimChar"/>
        </w:rPr>
        <w:t xml:space="preserve">τ_solana = 32</w:t>
      </w:r>
      <w:r>
        <w:t xml:space="preserve"> </w:t>
      </w:r>
      <w:r>
        <w:t xml:space="preserve">slot delay.</w:t>
      </w:r>
    </w:p>
    <w:p>
      <w:pPr>
        <w:pStyle w:val="FirstParagraph"/>
      </w:pPr>
      <w:r>
        <w:t xml:space="preserve">Proof schemas for additional chains (e.g., Cosmos, Polkadot) can be added by defining analogous structures and finality rules. All schemas use Aegis signatures for attester authentication.</w:t>
      </w:r>
    </w:p>
    <w:bookmarkEnd w:id="22"/>
    <w:bookmarkEnd w:id="23"/>
    <w:bookmarkStart w:id="24" w:name="reentrancy-and-failure-unwind"/>
    <w:p>
      <w:pPr>
        <w:pStyle w:val="Heading2"/>
      </w:pPr>
      <w:r>
        <w:t xml:space="preserve">19.2 Reentrancy and Failure Unwind</w:t>
      </w:r>
    </w:p>
    <w:p>
      <w:pPr>
        <w:pStyle w:val="FirstParagraph"/>
      </w:pPr>
      <w:r>
        <w:t xml:space="preserve">Cross‑chain interactions must prevent reentrancy attacks and handle external chain failures gracefully:</w:t>
      </w:r>
    </w:p>
    <w:p>
      <w:pPr>
        <w:numPr>
          <w:ilvl w:val="0"/>
          <w:numId w:val="1004"/>
        </w:numPr>
        <w:pStyle w:val="Compact"/>
      </w:pPr>
      <w:r>
        <w:rPr>
          <w:bCs/>
          <w:b/>
        </w:rPr>
        <w:t xml:space="preserve">Atomicity:</w:t>
      </w:r>
      <w:r>
        <w:t xml:space="preserve"> </w:t>
      </w:r>
      <w:r>
        <w:t xml:space="preserve">Cross‑chain operations are treated as two‑phase commits. Phase 1 locks assets on the source chain and produces an attestation. Phase 2, after sufficient confirmations, releases assets on the destination chain. Should the destination operation fail (e.g., due to gas exhaustion), a refund can be initiated using the original attestation.</w:t>
      </w:r>
    </w:p>
    <w:p>
      <w:pPr>
        <w:numPr>
          <w:ilvl w:val="0"/>
          <w:numId w:val="1004"/>
        </w:numPr>
        <w:pStyle w:val="Compact"/>
      </w:pPr>
      <w:r>
        <w:rPr>
          <w:bCs/>
          <w:b/>
        </w:rPr>
        <w:t xml:space="preserve">Reentrancy protection:</w:t>
      </w:r>
      <w:r>
        <w:t xml:space="preserve"> </w:t>
      </w:r>
      <w:r>
        <w:t xml:space="preserve">Smart contracts on PoSy that call external chains (via precompiles) must use reentrancy guards. Cross‑chain calls are asynchronous; there is no guarantee that an external transaction finishes before subsequent instructions execute.</w:t>
      </w:r>
    </w:p>
    <w:p>
      <w:pPr>
        <w:numPr>
          <w:ilvl w:val="0"/>
          <w:numId w:val="1004"/>
        </w:numPr>
        <w:pStyle w:val="Compact"/>
      </w:pPr>
      <w:r>
        <w:rPr>
          <w:bCs/>
          <w:b/>
        </w:rPr>
        <w:t xml:space="preserve">Failure unwind:</w:t>
      </w:r>
      <w:r>
        <w:t xml:space="preserve"> </w:t>
      </w:r>
      <w:r>
        <w:t xml:space="preserve">If the external chain reorganizes beyond the finality depth (rare but possible), an unwind procedure reverses the SXCP transfer. Validators post corrective attestations, and the original funds are unlocked on the source chain. Relayer bonds are slashed for causing unbounded risk (§9).</w:t>
      </w:r>
    </w:p>
    <w:bookmarkEnd w:id="24"/>
    <w:bookmarkStart w:id="25" w:name="precompile-api-specification"/>
    <w:p>
      <w:pPr>
        <w:pStyle w:val="Heading2"/>
      </w:pPr>
      <w:r>
        <w:t xml:space="preserve">19.3 Precompile API Specification</w:t>
      </w:r>
    </w:p>
    <w:p>
      <w:pPr>
        <w:pStyle w:val="FirstParagraph"/>
      </w:pPr>
      <w:r>
        <w:t xml:space="preserve">dApps interact with the SXCP using precompiled contracts that encapsulate cross‑chain logic. A generic interface is outlined below (solidity syntax for illustration):</w:t>
      </w:r>
    </w:p>
    <w:p>
      <w:pPr>
        <w:pStyle w:val="SourceCode"/>
      </w:pPr>
      <w:r>
        <w:rPr>
          <w:rStyle w:val="VerbatimChar"/>
        </w:rPr>
        <w:t xml:space="preserve">interface ISXCP {</w:t>
      </w:r>
      <w:r>
        <w:br/>
      </w:r>
      <w:r>
        <w:rPr>
          <w:rStyle w:val="VerbatimChar"/>
        </w:rPr>
        <w:t xml:space="preserve">    // Initiate a cross‑chain transfer</w:t>
      </w:r>
      <w:r>
        <w:br/>
      </w:r>
      <w:r>
        <w:rPr>
          <w:rStyle w:val="VerbatimChar"/>
        </w:rPr>
        <w:t xml:space="preserve">    function lockAndSend(address destinationChain,</w:t>
      </w:r>
      <w:r>
        <w:br/>
      </w:r>
      <w:r>
        <w:rPr>
          <w:rStyle w:val="VerbatimChar"/>
        </w:rPr>
        <w:t xml:space="preserve">                         bytes32 destinationUMA,</w:t>
      </w:r>
      <w:r>
        <w:br/>
      </w:r>
      <w:r>
        <w:rPr>
          <w:rStyle w:val="VerbatimChar"/>
        </w:rPr>
        <w:t xml:space="preserve">                         uint256 amount,</w:t>
      </w:r>
      <w:r>
        <w:br/>
      </w:r>
      <w:r>
        <w:rPr>
          <w:rStyle w:val="VerbatimChar"/>
        </w:rPr>
        <w:t xml:space="preserve">                         bytes calldata assetID) external;</w:t>
      </w:r>
      <w:r>
        <w:br/>
      </w:r>
      <w:r>
        <w:br/>
      </w:r>
      <w:r>
        <w:rPr>
          <w:rStyle w:val="VerbatimChar"/>
        </w:rPr>
        <w:t xml:space="preserve">    // Claim assets on PoSy given an SXCP attestation</w:t>
      </w:r>
      <w:r>
        <w:br/>
      </w:r>
      <w:r>
        <w:rPr>
          <w:rStyle w:val="VerbatimChar"/>
        </w:rPr>
        <w:t xml:space="preserve">    function claim(bytes calldata attestation,</w:t>
      </w:r>
      <w:r>
        <w:br/>
      </w:r>
      <w:r>
        <w:rPr>
          <w:rStyle w:val="VerbatimChar"/>
        </w:rPr>
        <w:t xml:space="preserve">                   bytes calldata merkleProof) external;</w:t>
      </w:r>
      <w:r>
        <w:br/>
      </w:r>
      <w:r>
        <w:br/>
      </w:r>
      <w:r>
        <w:rPr>
          <w:rStyle w:val="VerbatimChar"/>
        </w:rPr>
        <w:t xml:space="preserve">    // Submit misbehavior evidence against a relayer</w:t>
      </w:r>
      <w:r>
        <w:br/>
      </w:r>
      <w:r>
        <w:rPr>
          <w:rStyle w:val="VerbatimChar"/>
        </w:rPr>
        <w:t xml:space="preserve">    function submitEvidence(bytes calldata evidence) external;</w:t>
      </w:r>
      <w:r>
        <w:br/>
      </w:r>
      <w:r>
        <w:br/>
      </w:r>
      <w:r>
        <w:rPr>
          <w:rStyle w:val="VerbatimChar"/>
        </w:rPr>
        <w:t xml:space="preserve">    // Query pending transfers</w:t>
      </w:r>
      <w:r>
        <w:br/>
      </w:r>
      <w:r>
        <w:rPr>
          <w:rStyle w:val="VerbatimChar"/>
        </w:rPr>
        <w:t xml:space="preserve">    function pendingTransferOf(address user) external view returns (uint256);</w:t>
      </w:r>
      <w:r>
        <w:br/>
      </w:r>
      <w:r>
        <w:rPr>
          <w:rStyle w:val="VerbatimChar"/>
        </w:rPr>
        <w:t xml:space="preserve">}</w:t>
      </w:r>
    </w:p>
    <w:p>
      <w:pPr>
        <w:pStyle w:val="FirstParagraph"/>
      </w:pPr>
      <w:r>
        <w:t xml:space="preserve">These functions are thin wrappers around internal state machines. The</w:t>
      </w:r>
      <w:r>
        <w:t xml:space="preserve"> </w:t>
      </w:r>
      <w:r>
        <w:rPr>
          <w:rStyle w:val="VerbatimChar"/>
        </w:rPr>
        <w:t xml:space="preserve">lockAndSend</w:t>
      </w:r>
      <w:r>
        <w:t xml:space="preserve"> </w:t>
      </w:r>
      <w:r>
        <w:t xml:space="preserve">function emits an event that relayers watch;</w:t>
      </w:r>
      <w:r>
        <w:t xml:space="preserve"> </w:t>
      </w:r>
      <w:r>
        <w:rPr>
          <w:rStyle w:val="VerbatimChar"/>
        </w:rPr>
        <w:t xml:space="preserve">claim</w:t>
      </w:r>
      <w:r>
        <w:t xml:space="preserve"> </w:t>
      </w:r>
      <w:r>
        <w:t xml:space="preserve">verifies the attestation and releases assets;</w:t>
      </w:r>
      <w:r>
        <w:t xml:space="preserve"> </w:t>
      </w:r>
      <w:r>
        <w:rPr>
          <w:rStyle w:val="VerbatimChar"/>
        </w:rPr>
        <w:t xml:space="preserve">submitEvidence</w:t>
      </w:r>
      <w:r>
        <w:t xml:space="preserve"> </w:t>
      </w:r>
      <w:r>
        <w:t xml:space="preserve">forwards proof objects to the consensus for slashing. Additional precompiles may expose information about external chain status or current</w:t>
      </w:r>
      <w:r>
        <w:t xml:space="preserve"> </w:t>
      </w:r>
      <w:r>
        <w:rPr>
          <w:rStyle w:val="VerbatimChar"/>
        </w:rPr>
        <w:t xml:space="preserve">τ_x</w:t>
      </w:r>
      <w:r>
        <w:t xml:space="preserve"> </w:t>
      </w:r>
      <w:r>
        <w:t xml:space="preserve">values.</w:t>
      </w:r>
    </w:p>
    <w:bookmarkEnd w:id="25"/>
    <w:bookmarkStart w:id="26" w:name="asynchronous-state-machine"/>
    <w:p>
      <w:pPr>
        <w:pStyle w:val="Heading2"/>
      </w:pPr>
      <w:r>
        <w:t xml:space="preserve">19.4 Asynchronous State Machine</w:t>
      </w:r>
    </w:p>
    <w:p>
      <w:pPr>
        <w:pStyle w:val="FirstParagraph"/>
      </w:pPr>
      <w:r>
        <w:t xml:space="preserve">Because external chains operate at different speeds and finality properties, SXCP executes cross‑chain transactions asynchronously. An abstract state machine has states</w:t>
      </w:r>
      <w:r>
        <w:t xml:space="preserve"> </w:t>
      </w:r>
      <w:r>
        <w:rPr>
          <w:rStyle w:val="VerbatimChar"/>
        </w:rPr>
        <w:t xml:space="preserve">LOCKED</w:t>
      </w:r>
      <w:r>
        <w:t xml:space="preserve">,</w:t>
      </w:r>
      <w:r>
        <w:t xml:space="preserve"> </w:t>
      </w:r>
      <w:r>
        <w:rPr>
          <w:rStyle w:val="VerbatimChar"/>
        </w:rPr>
        <w:t xml:space="preserve">PENDING_FINALITY</w:t>
      </w:r>
      <w:r>
        <w:t xml:space="preserve">,</w:t>
      </w:r>
      <w:r>
        <w:t xml:space="preserve"> </w:t>
      </w:r>
      <w:r>
        <w:rPr>
          <w:rStyle w:val="VerbatimChar"/>
        </w:rPr>
        <w:t xml:space="preserve">READY_TO_CLAIM</w:t>
      </w:r>
      <w:r>
        <w:t xml:space="preserve">,</w:t>
      </w:r>
      <w:r>
        <w:t xml:space="preserve"> </w:t>
      </w:r>
      <w:r>
        <w:rPr>
          <w:rStyle w:val="VerbatimChar"/>
        </w:rPr>
        <w:t xml:space="preserve">CLAIMED</w:t>
      </w:r>
      <w:r>
        <w:t xml:space="preserve"> </w:t>
      </w:r>
      <w:r>
        <w:t xml:space="preserve">and</w:t>
      </w:r>
      <w:r>
        <w:t xml:space="preserve"> </w:t>
      </w:r>
      <w:r>
        <w:rPr>
          <w:rStyle w:val="VerbatimChar"/>
        </w:rPr>
        <w:t xml:space="preserve">REFUNDED</w:t>
      </w:r>
      <w:r>
        <w:t xml:space="preserve">. Transitions occur based on SXCP attestations and proof of success or failure on the destination chain. This state machine is integrated into the consensus pseudocode (§14) so that cross‑chain transactions do not block block production.</w:t>
      </w:r>
    </w:p>
    <w:p>
      <w:pPr>
        <w:pStyle w:val="BodyText"/>
      </w:pPr>
      <w:r>
        <w:t xml:space="preserve">Comprehensive test cases in §15 and reference schemas in Appendix D ensure that implementations correctly handle chain‑specific quirks. All proof formats and numeric parameters are catalogued in the notation index (§21) and references (§22).</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2025-10-17T07:06:41Z</dcterms:created>
  <dcterms:modified xsi:type="dcterms:W3CDTF">2025-10-17T07:06:41Z</dcterms:modified>
</cp:coreProperties>
</file>

<file path=docProps/custom.xml><?xml version="1.0" encoding="utf-8"?>
<Properties xmlns="http://schemas.openxmlformats.org/officeDocument/2006/custom-properties" xmlns:vt="http://schemas.openxmlformats.org/officeDocument/2006/docPropsVTypes"/>
</file>