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ppendix-a-notation-index"/>
    <w:p>
      <w:pPr>
        <w:pStyle w:val="Heading1"/>
      </w:pPr>
      <w:r>
        <w:t xml:space="preserve">Appendix A – Notation Index</w:t>
      </w:r>
    </w:p>
    <w:p>
      <w:pPr>
        <w:pStyle w:val="FirstParagraph"/>
      </w:pPr>
      <w:r>
        <w:t xml:space="preserve">This appendix compiles the notation used throughout the Proof of Synergy specification. Symbols are grouped by thematic category and reference the section in which they are defined. For complete definitions, refer to §2 Notation Reference Guide.</w:t>
      </w:r>
    </w:p>
    <w:bookmarkStart w:id="20" w:name="validator-and-weight-parameters"/>
    <w:p>
      <w:pPr>
        <w:pStyle w:val="Heading2"/>
      </w:pPr>
      <w:r>
        <w:t xml:space="preserve">Validator and Weight Parameters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w:r>
              <w:t xml:space="preserve">(n)</w:t>
            </w:r>
          </w:p>
        </w:tc>
        <w:tc>
          <w:tcPr/>
          <w:p>
            <w:pPr>
              <w:pStyle w:val="Compact"/>
              <w:jc w:val="left"/>
            </w:pPr>
            <w:r>
              <w:t xml:space="preserve">Total number of validators</w:t>
            </w:r>
          </w:p>
        </w:tc>
        <w:tc>
          <w:tcPr/>
          <w:p>
            <w:pPr>
              <w:pStyle w:val="Compact"/>
              <w:jc w:val="left"/>
            </w:pPr>
            <w:r>
              <w:t xml:space="preserve">§2.1</w:t>
            </w:r>
          </w:p>
        </w:tc>
      </w:tr>
      <w:tr>
        <w:tc>
          <w:tcPr/>
          <w:p>
            <w:pPr>
              <w:pStyle w:val="Compact"/>
              <w:jc w:val="left"/>
            </w:pPr>
            <w:r>
              <w:t xml:space="preserve">(f)</w:t>
            </w:r>
          </w:p>
        </w:tc>
        <w:tc>
          <w:tcPr/>
          <w:p>
            <w:pPr>
              <w:pStyle w:val="Compact"/>
              <w:jc w:val="left"/>
            </w:pPr>
            <w:r>
              <w:t xml:space="preserve">Maximum tolerated Byzantine weight</w:t>
            </w:r>
          </w:p>
        </w:tc>
        <w:tc>
          <w:tcPr/>
          <w:p>
            <w:pPr>
              <w:pStyle w:val="Compact"/>
              <w:jc w:val="left"/>
            </w:pPr>
            <w:r>
              <w:t xml:space="preserve">§2.1</w:t>
            </w:r>
          </w:p>
        </w:tc>
      </w:tr>
      <w:tr>
        <w:tc>
          <w:tcPr/>
          <w:p>
            <w:pPr>
              <w:pStyle w:val="Compact"/>
              <w:jc w:val="left"/>
            </w:pPr>
            <w:r>
              <w:t xml:space="preserve">(W_i)</w:t>
            </w:r>
          </w:p>
        </w:tc>
        <w:tc>
          <w:tcPr/>
          <w:p>
            <w:pPr>
              <w:pStyle w:val="Compact"/>
              <w:jc w:val="left"/>
            </w:pPr>
            <w:r>
              <w:t xml:space="preserve">Normalized weight of validator (i)</w:t>
            </w:r>
          </w:p>
        </w:tc>
        <w:tc>
          <w:tcPr/>
          <w:p>
            <w:pPr>
              <w:pStyle w:val="Compact"/>
              <w:jc w:val="left"/>
            </w:pPr>
            <w:r>
              <w:t xml:space="preserve">§5.1</w:t>
            </w:r>
          </w:p>
        </w:tc>
      </w:tr>
      <w:tr>
        <w:tc>
          <w:tcPr/>
          <w:p>
            <w:pPr>
              <w:pStyle w:val="Compact"/>
              <w:jc w:val="left"/>
            </w:pPr>
            <w:r>
              <w:t xml:space="preserve">(S_i)</w:t>
            </w:r>
          </w:p>
        </w:tc>
        <w:tc>
          <w:tcPr/>
          <w:p>
            <w:pPr>
              <w:pStyle w:val="Compact"/>
              <w:jc w:val="left"/>
            </w:pPr>
            <w:r>
              <w:t xml:space="preserve">Synergy Score of validator (i)</w:t>
            </w:r>
          </w:p>
        </w:tc>
        <w:tc>
          <w:tcPr/>
          <w:p>
            <w:pPr>
              <w:pStyle w:val="Compact"/>
              <w:jc w:val="left"/>
            </w:pPr>
            <w:r>
              <w:t xml:space="preserve">§8.2</w:t>
            </w:r>
          </w:p>
        </w:tc>
      </w:tr>
      <w:tr>
        <w:tc>
          <w:tcPr/>
          <w:p>
            <w:pPr>
              <w:pStyle w:val="Compact"/>
              <w:jc w:val="left"/>
            </w:pPr>
            <w:r>
              <w:t xml:space="preserve">(R_i)</w:t>
            </w:r>
          </w:p>
        </w:tc>
        <w:tc>
          <w:tcPr/>
          <w:p>
            <w:pPr>
              <w:pStyle w:val="Compact"/>
              <w:jc w:val="left"/>
            </w:pPr>
            <w:r>
              <w:t xml:space="preserve">Reputation multiplier</w:t>
            </w:r>
          </w:p>
        </w:tc>
        <w:tc>
          <w:tcPr/>
          <w:p>
            <w:pPr>
              <w:pStyle w:val="Compact"/>
              <w:jc w:val="left"/>
            </w:pPr>
            <w:r>
              <w:t xml:space="preserve">§5.4</w:t>
            </w:r>
          </w:p>
        </w:tc>
      </w:tr>
      <w:tr>
        <w:tc>
          <w:tcPr/>
          <w:p>
            <w:pPr>
              <w:pStyle w:val="Compact"/>
              <w:jc w:val="left"/>
            </w:pPr>
            <w:r>
              <w:t xml:space="preserve">(C_i)</w:t>
            </w:r>
          </w:p>
        </w:tc>
        <w:tc>
          <w:tcPr/>
          <w:p>
            <w:pPr>
              <w:pStyle w:val="Compact"/>
              <w:jc w:val="left"/>
            </w:pPr>
            <w:r>
              <w:t xml:space="preserve">Contribution multiplier</w:t>
            </w:r>
          </w:p>
        </w:tc>
        <w:tc>
          <w:tcPr/>
          <w:p>
            <w:pPr>
              <w:pStyle w:val="Compact"/>
              <w:jc w:val="left"/>
            </w:pPr>
            <w:r>
              <w:t xml:space="preserve">§8.2</w:t>
            </w:r>
          </w:p>
        </w:tc>
      </w:tr>
      <w:tr>
        <w:tc>
          <w:tcPr/>
          <w:p>
            <w:pPr>
              <w:pStyle w:val="Compact"/>
              <w:jc w:val="left"/>
            </w:pPr>
            <w:r>
              <w:t xml:space="preserve">(P_i)</w:t>
            </w:r>
          </w:p>
        </w:tc>
        <w:tc>
          <w:tcPr/>
          <w:p>
            <w:pPr>
              <w:pStyle w:val="Compact"/>
              <w:jc w:val="left"/>
            </w:pPr>
            <w:r>
              <w:t xml:space="preserve">Punctuality multiplier</w:t>
            </w:r>
          </w:p>
        </w:tc>
        <w:tc>
          <w:tcPr/>
          <w:p>
            <w:pPr>
              <w:pStyle w:val="Compact"/>
              <w:jc w:val="left"/>
            </w:pPr>
            <w:r>
              <w:t xml:space="preserve">§8.2</w:t>
            </w:r>
          </w:p>
        </w:tc>
      </w:tr>
    </w:tbl>
    <w:bookmarkEnd w:id="20"/>
    <w:bookmarkStart w:id="21" w:name="timing-and-synchrony"/>
    <w:p>
      <w:pPr>
        <w:pStyle w:val="Heading2"/>
      </w:pPr>
      <w:r>
        <w:t xml:space="preserve">Timing and Synchrony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w:r>
              <w:t xml:space="preserve">(Δ)</w:t>
            </w:r>
          </w:p>
        </w:tc>
        <w:tc>
          <w:tcPr/>
          <w:p>
            <w:pPr>
              <w:pStyle w:val="Compact"/>
              <w:jc w:val="left"/>
            </w:pPr>
            <w:r>
              <w:t xml:space="preserve">Upper bound on message delay after GST</w:t>
            </w:r>
          </w:p>
        </w:tc>
        <w:tc>
          <w:tcPr/>
          <w:p>
            <w:pPr>
              <w:pStyle w:val="Compact"/>
              <w:jc w:val="left"/>
            </w:pPr>
            <w:r>
              <w:t xml:space="preserve">§1.1</w:t>
            </w:r>
          </w:p>
        </w:tc>
      </w:tr>
      <w:tr>
        <w:tc>
          <w:tcPr/>
          <w:p>
            <w:pPr>
              <w:pStyle w:val="Compact"/>
              <w:jc w:val="left"/>
            </w:pPr>
            <w:r>
              <w:t xml:space="preserve">(δ)</w:t>
            </w:r>
          </w:p>
        </w:tc>
        <w:tc>
          <w:tcPr/>
          <w:p>
            <w:pPr>
              <w:pStyle w:val="Compact"/>
              <w:jc w:val="left"/>
            </w:pPr>
            <w:r>
              <w:t xml:space="preserve">Maximum clock skew</w:t>
            </w:r>
          </w:p>
        </w:tc>
        <w:tc>
          <w:tcPr/>
          <w:p>
            <w:pPr>
              <w:pStyle w:val="Compact"/>
              <w:jc w:val="left"/>
            </w:pPr>
            <w:r>
              <w:t xml:space="preserve">§1.1</w:t>
            </w:r>
          </w:p>
        </w:tc>
      </w:tr>
      <w:tr>
        <w:tc>
          <w:tcPr/>
          <w:p>
            <w:pPr>
              <w:pStyle w:val="Compact"/>
              <w:jc w:val="left"/>
            </w:pPr>
            <w:r>
              <w:t xml:space="preserve">GST</w:t>
            </w:r>
          </w:p>
        </w:tc>
        <w:tc>
          <w:tcPr/>
          <w:p>
            <w:pPr>
              <w:pStyle w:val="Compact"/>
              <w:jc w:val="left"/>
            </w:pPr>
            <w:r>
              <w:t xml:space="preserve">Global Stabilisation Time (network becomes synchronous)</w:t>
            </w:r>
          </w:p>
        </w:tc>
        <w:tc>
          <w:tcPr/>
          <w:p>
            <w:pPr>
              <w:pStyle w:val="Compact"/>
              <w:jc w:val="left"/>
            </w:pPr>
            <w:r>
              <w:t xml:space="preserve">§1.1</w:t>
            </w:r>
          </w:p>
        </w:tc>
      </w:tr>
      <w:tr>
        <w:tc>
          <w:tcPr/>
          <w:p>
            <w:pPr>
              <w:pStyle w:val="Compact"/>
              <w:jc w:val="left"/>
            </w:pPr>
            <w:r>
              <w:t xml:space="preserve">(T_{</w:t>
            </w:r>
            <w:r>
              <w:t xml:space="preserve">}), (T_{</w:t>
            </w:r>
            <w:r>
              <w:t xml:space="preserve">}), (T_{</w:t>
            </w:r>
            <w:r>
              <w:t xml:space="preserve">})</w:t>
            </w:r>
          </w:p>
        </w:tc>
        <w:tc>
          <w:tcPr/>
          <w:p>
            <w:pPr>
              <w:pStyle w:val="Compact"/>
              <w:jc w:val="left"/>
            </w:pPr>
            <w:r>
              <w:t xml:space="preserve">Phase timeouts</w:t>
            </w:r>
          </w:p>
        </w:tc>
        <w:tc>
          <w:tcPr/>
          <w:p>
            <w:pPr>
              <w:pStyle w:val="Compact"/>
              <w:jc w:val="left"/>
            </w:pPr>
            <w:r>
              <w:t xml:space="preserve">§10</w:t>
            </w:r>
          </w:p>
        </w:tc>
      </w:tr>
      <w:tr>
        <w:tc>
          <w:tcPr/>
          <w:p>
            <w:pPr>
              <w:pStyle w:val="Compact"/>
              <w:jc w:val="left"/>
            </w:pPr>
            <w:r>
              <w:t xml:space="preserve">(β)</w:t>
            </w:r>
          </w:p>
        </w:tc>
        <w:tc>
          <w:tcPr/>
          <w:p>
            <w:pPr>
              <w:pStyle w:val="Compact"/>
              <w:jc w:val="left"/>
            </w:pPr>
            <w:r>
              <w:t xml:space="preserve">Timeout backoff factor</w:t>
            </w:r>
          </w:p>
        </w:tc>
        <w:tc>
          <w:tcPr/>
          <w:p>
            <w:pPr>
              <w:pStyle w:val="Compact"/>
              <w:jc w:val="left"/>
            </w:pPr>
            <w:r>
              <w:t xml:space="preserve">§10</w:t>
            </w:r>
          </w:p>
        </w:tc>
      </w:tr>
    </w:tbl>
    <w:bookmarkEnd w:id="21"/>
    <w:bookmarkStart w:id="22" w:name="consensus-and-committee"/>
    <w:p>
      <w:pPr>
        <w:pStyle w:val="Heading2"/>
      </w:pPr>
      <w:r>
        <w:t xml:space="preserve">Consensus and Committee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w:r>
              <w:t xml:space="preserve">(m)</w:t>
            </w:r>
          </w:p>
        </w:tc>
        <w:tc>
          <w:tcPr/>
          <w:p>
            <w:pPr>
              <w:pStyle w:val="Compact"/>
              <w:jc w:val="left"/>
            </w:pPr>
            <w:r>
              <w:t xml:space="preserve">Committee size</w:t>
            </w:r>
          </w:p>
        </w:tc>
        <w:tc>
          <w:tcPr/>
          <w:p>
            <w:pPr>
              <w:pStyle w:val="Compact"/>
              <w:jc w:val="left"/>
            </w:pPr>
            <w:r>
              <w:t xml:space="preserve">§6</w:t>
            </w:r>
          </w:p>
        </w:tc>
      </w:tr>
      <w:tr>
        <w:tc>
          <w:tcPr/>
          <w:p>
            <w:pPr>
              <w:pStyle w:val="Compact"/>
              <w:jc w:val="left"/>
            </w:pPr>
            <w:r>
              <w:t xml:space="preserve">(q)</w:t>
            </w:r>
          </w:p>
        </w:tc>
        <w:tc>
          <w:tcPr/>
          <w:p>
            <w:pPr>
              <w:pStyle w:val="Compact"/>
              <w:jc w:val="left"/>
            </w:pPr>
            <w:r>
              <w:t xml:space="preserve">Quorum threshold (minimum weight)</w:t>
            </w:r>
          </w:p>
        </w:tc>
        <w:tc>
          <w:tcPr/>
          <w:p>
            <w:pPr>
              <w:pStyle w:val="Compact"/>
              <w:jc w:val="left"/>
            </w:pPr>
            <w:r>
              <w:t xml:space="preserve">§6</w:t>
            </w:r>
          </w:p>
        </w:tc>
      </w:tr>
      <w:tr>
        <w:tc>
          <w:tcPr/>
          <w:p>
            <w:pPr>
              <w:pStyle w:val="Compact"/>
              <w:jc w:val="left"/>
            </w:pPr>
            <w:r>
              <w:t xml:space="preserve">(epoch)</w:t>
            </w:r>
          </w:p>
        </w:tc>
        <w:tc>
          <w:tcPr/>
          <w:p>
            <w:pPr>
              <w:pStyle w:val="Compact"/>
              <w:jc w:val="left"/>
            </w:pPr>
            <w:r>
              <w:t xml:space="preserve">Epoch counter</w:t>
            </w:r>
          </w:p>
        </w:tc>
        <w:tc>
          <w:tcPr/>
          <w:p>
            <w:pPr>
              <w:pStyle w:val="Compact"/>
              <w:jc w:val="left"/>
            </w:pPr>
            <w:r>
              <w:t xml:space="preserve">§1, §11</w:t>
            </w:r>
          </w:p>
        </w:tc>
      </w:tr>
      <w:tr>
        <w:tc>
          <w:tcPr/>
          <w:p>
            <w:pPr>
              <w:pStyle w:val="Compact"/>
              <w:jc w:val="left"/>
            </w:pPr>
            <w:r>
              <w:t xml:space="preserve">(round)</w:t>
            </w:r>
          </w:p>
        </w:tc>
        <w:tc>
          <w:tcPr/>
          <w:p>
            <w:pPr>
              <w:pStyle w:val="Compact"/>
              <w:jc w:val="left"/>
            </w:pPr>
            <w:r>
              <w:t xml:space="preserve">Round within epoch</w:t>
            </w:r>
          </w:p>
        </w:tc>
        <w:tc>
          <w:tcPr/>
          <w:p>
            <w:pPr>
              <w:pStyle w:val="Compact"/>
              <w:jc w:val="left"/>
            </w:pPr>
            <w:r>
              <w:t xml:space="preserve">§1, §14</w:t>
            </w:r>
          </w:p>
        </w:tc>
      </w:tr>
      <w:tr>
        <w:tc>
          <w:tcPr/>
          <w:p>
            <w:pPr>
              <w:pStyle w:val="Compact"/>
              <w:jc w:val="left"/>
            </w:pPr>
            <w:r>
              <w:t xml:space="preserve">(vrf_output)</w:t>
            </w:r>
          </w:p>
        </w:tc>
        <w:tc>
          <w:tcPr/>
          <w:p>
            <w:pPr>
              <w:pStyle w:val="Compact"/>
              <w:jc w:val="left"/>
            </w:pPr>
            <w:r>
              <w:t xml:space="preserve">Aegis VRF output used for sampling</w:t>
            </w:r>
          </w:p>
        </w:tc>
        <w:tc>
          <w:tcPr/>
          <w:p>
            <w:pPr>
              <w:pStyle w:val="Compact"/>
              <w:jc w:val="left"/>
            </w:pPr>
            <w:r>
              <w:t xml:space="preserve">§6</w:t>
            </w:r>
          </w:p>
        </w:tc>
      </w:tr>
    </w:tbl>
    <w:bookmarkEnd w:id="22"/>
    <w:bookmarkStart w:id="23" w:name="sxcp-and-external-chains"/>
    <w:p>
      <w:pPr>
        <w:pStyle w:val="Heading2"/>
      </w:pPr>
      <w:r>
        <w:t xml:space="preserve">SXCP and External Chains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w:r>
              <w:t xml:space="preserve">(τ_x)</w:t>
            </w:r>
          </w:p>
        </w:tc>
        <w:tc>
          <w:tcPr/>
          <w:p>
            <w:pPr>
              <w:pStyle w:val="Compact"/>
              <w:jc w:val="left"/>
            </w:pPr>
            <w:r>
              <w:t xml:space="preserve">Finality delay (confirmations) on external chain (x)</w:t>
            </w:r>
          </w:p>
        </w:tc>
        <w:tc>
          <w:tcPr/>
          <w:p>
            <w:pPr>
              <w:pStyle w:val="Compact"/>
              <w:jc w:val="left"/>
            </w:pPr>
            <w:r>
              <w:t xml:space="preserve">§1.1, §12</w:t>
            </w:r>
          </w:p>
        </w:tc>
      </w:tr>
      <w:tr>
        <w:tc>
          <w:tcPr/>
          <w:p>
            <w:pPr>
              <w:pStyle w:val="Compact"/>
              <w:jc w:val="left"/>
            </w:pPr>
            <w:r>
              <w:t xml:space="preserve">(ρ_{E})</w:t>
            </w:r>
          </w:p>
        </w:tc>
        <w:tc>
          <w:tcPr/>
          <w:p>
            <w:pPr>
              <w:pStyle w:val="Compact"/>
              <w:jc w:val="left"/>
            </w:pPr>
            <w:r>
              <w:t xml:space="preserve">Randomness beacon value for epoch (E)</w:t>
            </w:r>
          </w:p>
        </w:tc>
        <w:tc>
          <w:tcPr/>
          <w:p>
            <w:pPr>
              <w:pStyle w:val="Compact"/>
              <w:jc w:val="left"/>
            </w:pPr>
            <w:r>
              <w:t xml:space="preserve">§11</w:t>
            </w:r>
          </w:p>
        </w:tc>
      </w:tr>
      <w:tr>
        <w:tc>
          <w:tcPr/>
          <w:p>
            <w:pPr>
              <w:pStyle w:val="Compact"/>
              <w:jc w:val="left"/>
            </w:pPr>
            <w:r>
              <w:t xml:space="preserve">(B_i)</w:t>
            </w:r>
          </w:p>
        </w:tc>
        <w:tc>
          <w:tcPr/>
          <w:p>
            <w:pPr>
              <w:pStyle w:val="Compact"/>
              <w:jc w:val="left"/>
            </w:pPr>
            <w:r>
              <w:t xml:space="preserve">SXCP quality factor for validator (i)</w:t>
            </w:r>
          </w:p>
        </w:tc>
        <w:tc>
          <w:tcPr/>
          <w:p>
            <w:pPr>
              <w:pStyle w:val="Compact"/>
              <w:jc w:val="left"/>
            </w:pPr>
            <w:r>
              <w:t xml:space="preserve">§8.3</w:t>
            </w:r>
          </w:p>
        </w:tc>
      </w:tr>
      <w:tr>
        <w:tc>
          <w:tcPr/>
          <w:p>
            <w:pPr>
              <w:pStyle w:val="Compact"/>
              <w:jc w:val="left"/>
            </w:pPr>
            <w:r>
              <w:t xml:space="preserve">(R_{</w:t>
            </w:r>
            <w:r>
              <w:t xml:space="preserve">})</w:t>
            </w:r>
          </w:p>
        </w:tc>
        <w:tc>
          <w:tcPr/>
          <w:p>
            <w:pPr>
              <w:pStyle w:val="Compact"/>
              <w:jc w:val="left"/>
            </w:pPr>
            <w:r>
              <w:t xml:space="preserve">Reward pool for SXCP relayers</w:t>
            </w:r>
          </w:p>
        </w:tc>
        <w:tc>
          <w:tcPr/>
          <w:p>
            <w:pPr>
              <w:pStyle w:val="Compact"/>
              <w:jc w:val="left"/>
            </w:pPr>
            <w:r>
              <w:t xml:space="preserve">§8.1</w:t>
            </w:r>
          </w:p>
        </w:tc>
      </w:tr>
    </w:tbl>
    <w:bookmarkEnd w:id="23"/>
    <w:bookmarkStart w:id="24" w:name="cryptography"/>
    <w:p>
      <w:pPr>
        <w:pStyle w:val="Heading2"/>
      </w:pPr>
      <w:r>
        <w:t xml:space="preserve">Cryptography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w:r>
              <w:t xml:space="preserve">(</w:t>
            </w:r>
            <w:r>
              <w:t xml:space="preserve">)</w:t>
            </w:r>
          </w:p>
        </w:tc>
        <w:tc>
          <w:tcPr/>
          <w:p>
            <w:pPr>
              <w:pStyle w:val="Compact"/>
              <w:jc w:val="left"/>
            </w:pPr>
            <w:r>
              <w:t xml:space="preserve">Aegis digital signature</w:t>
            </w:r>
          </w:p>
        </w:tc>
        <w:tc>
          <w:tcPr/>
          <w:p>
            <w:pPr>
              <w:pStyle w:val="Compact"/>
              <w:jc w:val="left"/>
            </w:pPr>
            <w:r>
              <w:t xml:space="preserve">§7.1</w:t>
            </w:r>
          </w:p>
        </w:tc>
      </w:tr>
      <w:tr>
        <w:tc>
          <w:tcPr/>
          <w:p>
            <w:pPr>
              <w:pStyle w:val="Compact"/>
              <w:jc w:val="left"/>
            </w:pPr>
            <w:r>
              <w:t xml:space="preserve">(</w:t>
            </w:r>
            <w:r>
              <w:t xml:space="preserve">)</w:t>
            </w:r>
          </w:p>
        </w:tc>
        <w:tc>
          <w:tcPr/>
          <w:p>
            <w:pPr>
              <w:pStyle w:val="Compact"/>
              <w:jc w:val="left"/>
            </w:pPr>
            <w:r>
              <w:t xml:space="preserve">Aggregate of votes and signatures</w:t>
            </w:r>
          </w:p>
        </w:tc>
        <w:tc>
          <w:tcPr/>
          <w:p>
            <w:pPr>
              <w:pStyle w:val="Compact"/>
              <w:jc w:val="left"/>
            </w:pPr>
            <w:r>
              <w:t xml:space="preserve">§7.2</w:t>
            </w:r>
          </w:p>
        </w:tc>
      </w:tr>
      <w:tr>
        <w:tc>
          <w:tcPr/>
          <w:p>
            <w:pPr>
              <w:pStyle w:val="Compact"/>
              <w:jc w:val="left"/>
            </w:pPr>
            <w:r>
              <w:t xml:space="preserve">(</w:t>
            </w:r>
            <w:r>
              <w:t xml:space="preserve">)</w:t>
            </w:r>
          </w:p>
        </w:tc>
        <w:tc>
          <w:tcPr/>
          <w:p>
            <w:pPr>
              <w:pStyle w:val="Compact"/>
              <w:jc w:val="left"/>
            </w:pPr>
            <w:r>
              <w:t xml:space="preserve">256‑bit BLAKE3 digest</w:t>
            </w:r>
          </w:p>
        </w:tc>
        <w:tc>
          <w:tcPr/>
          <w:p>
            <w:pPr>
              <w:pStyle w:val="Compact"/>
              <w:jc w:val="left"/>
            </w:pPr>
            <w:r>
              <w:t xml:space="preserve">§7.1</w:t>
            </w:r>
          </w:p>
        </w:tc>
      </w:tr>
      <w:tr>
        <w:tc>
          <w:tcPr/>
          <w:p>
            <w:pPr>
              <w:pStyle w:val="Compact"/>
              <w:jc w:val="left"/>
            </w:pPr>
            <w:r>
              <w:t xml:space="preserve">(</w:t>
            </w:r>
            <w:r>
              <w:t xml:space="preserve">)</w:t>
            </w:r>
          </w:p>
        </w:tc>
        <w:tc>
          <w:tcPr/>
          <w:p>
            <w:pPr>
              <w:pStyle w:val="Compact"/>
              <w:jc w:val="left"/>
            </w:pPr>
            <w:r>
              <w:t xml:space="preserve">Aegis verifiable random function</w:t>
            </w:r>
          </w:p>
        </w:tc>
        <w:tc>
          <w:tcPr/>
          <w:p>
            <w:pPr>
              <w:pStyle w:val="Compact"/>
              <w:jc w:val="left"/>
            </w:pPr>
            <w:r>
              <w:t xml:space="preserve">§6</w:t>
            </w:r>
          </w:p>
        </w:tc>
      </w:tr>
    </w:tbl>
    <w:p>
      <w:pPr>
        <w:pStyle w:val="BodyText"/>
      </w:pPr>
      <w:r>
        <w:t xml:space="preserve">This index is auto‑generated from the specification text. If you encounter undefined or ambiguous symbols, please consult the relevant section. A reference list of all external papers and standards is provided in Appendix B.</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2025-10-17T07:06:42Z</dcterms:created>
  <dcterms:modified xsi:type="dcterms:W3CDTF">2025-10-17T07:06:42Z</dcterms:modified>
</cp:coreProperties>
</file>

<file path=docProps/custom.xml><?xml version="1.0" encoding="utf-8"?>
<Properties xmlns="http://schemas.openxmlformats.org/officeDocument/2006/custom-properties" xmlns:vt="http://schemas.openxmlformats.org/officeDocument/2006/docPropsVTypes"/>
</file>