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ppendix-c-glossary"/>
    <w:p>
      <w:pPr>
        <w:pStyle w:val="Heading1"/>
      </w:pPr>
      <w:r>
        <w:t xml:space="preserve">Appendix C – Glossary</w:t>
      </w:r>
    </w:p>
    <w:p>
      <w:pPr>
        <w:pStyle w:val="FirstParagraph"/>
      </w:pPr>
      <w:r>
        <w:t xml:space="preserve">This glossary defines key terms and acronyms used throughout the Proof of Synergy specification. Bold terms appear in the main text; italicized terms refer to sections or appendices where they are introduced.</w:t>
      </w:r>
    </w:p>
    <w:p>
      <w:pPr>
        <w:pStyle w:val="BodyText"/>
      </w:pPr>
      <w:r>
        <w:rPr>
          <w:bCs/>
          <w:b/>
        </w:rPr>
        <w:t xml:space="preserve">Aegis PQC</w:t>
      </w:r>
      <w:r>
        <w:t xml:space="preserve"> </w:t>
      </w:r>
      <w:r>
        <w:t xml:space="preserve">– The post‑quantum cryptographic layer adopted by PoSy. Provides digital signatures, verifiable random functions and key derivation functions resistant to quantum attacks. Defined in</w:t>
      </w:r>
      <w:r>
        <w:t xml:space="preserve"> </w:t>
      </w:r>
      <w:r>
        <w:rPr>
          <w:iCs/>
          <w:i/>
        </w:rPr>
        <w:t xml:space="preserve">§7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Appendix B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BitArray</w:t>
      </w:r>
      <w:r>
        <w:t xml:space="preserve"> </w:t>
      </w:r>
      <w:r>
        <w:t xml:space="preserve">– A compact data structure used to indicate which committee members signed a quorum certificate. Each bit corresponds to a validator index. Described in</w:t>
      </w:r>
      <w:r>
        <w:t xml:space="preserve"> </w:t>
      </w:r>
      <w:r>
        <w:rPr>
          <w:iCs/>
          <w:i/>
        </w:rPr>
        <w:t xml:space="preserve">§7.2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Block Subsidy</w:t>
      </w:r>
      <w:r>
        <w:t xml:space="preserve"> </w:t>
      </w:r>
      <w:r>
        <w:t xml:space="preserve">– Newly minted SNRG tokens paid to validators as part of the reward pool. See</w:t>
      </w:r>
      <w:r>
        <w:t xml:space="preserve"> </w:t>
      </w:r>
      <w:r>
        <w:rPr>
          <w:iCs/>
          <w:i/>
        </w:rPr>
        <w:t xml:space="preserve">§8.1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§12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Byzantine Weight (f)</w:t>
      </w:r>
      <w:r>
        <w:t xml:space="preserve"> </w:t>
      </w:r>
      <w:r>
        <w:t xml:space="preserve">– The maximum cumulative normalized weight of validators that may behave arbitrarily while still maintaining safety and liveness. See</w:t>
      </w:r>
      <w:r>
        <w:t xml:space="preserve"> </w:t>
      </w:r>
      <w:r>
        <w:rPr>
          <w:iCs/>
          <w:i/>
        </w:rPr>
        <w:t xml:space="preserve">§1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§2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Commit‑Reveal Scheme</w:t>
      </w:r>
      <w:r>
        <w:t xml:space="preserve"> </w:t>
      </w:r>
      <w:r>
        <w:t xml:space="preserve">– A fallback randomness generation process used when the Aegis DKG fails. Validators commit to random seeds, then reveal them to derive randomness. Introduced in</w:t>
      </w:r>
      <w:r>
        <w:t xml:space="preserve"> </w:t>
      </w:r>
      <w:r>
        <w:rPr>
          <w:iCs/>
          <w:i/>
        </w:rPr>
        <w:t xml:space="preserve">§11.3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Data Availability (DA)</w:t>
      </w:r>
      <w:r>
        <w:t xml:space="preserve"> </w:t>
      </w:r>
      <w:r>
        <w:t xml:space="preserve">– The property that full block data is accessible for verification. DA verifiers sample block shards to ensure availability. See</w:t>
      </w:r>
      <w:r>
        <w:t xml:space="preserve"> </w:t>
      </w:r>
      <w:r>
        <w:rPr>
          <w:iCs/>
          <w:i/>
        </w:rPr>
        <w:t xml:space="preserve">§7.3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§20.2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Epoch</w:t>
      </w:r>
      <w:r>
        <w:t xml:space="preserve"> </w:t>
      </w:r>
      <w:r>
        <w:t xml:space="preserve">– A fixed‑length period during which the validator set and committee sampling remain constant. At each epoch boundary, the set may update and new randomness is generated. See</w:t>
      </w:r>
      <w:r>
        <w:t xml:space="preserve"> </w:t>
      </w:r>
      <w:r>
        <w:rPr>
          <w:iCs/>
          <w:i/>
        </w:rPr>
        <w:t xml:space="preserve">§11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Global Stabilisation Time (GST)</w:t>
      </w:r>
      <w:r>
        <w:t xml:space="preserve"> </w:t>
      </w:r>
      <w:r>
        <w:t xml:space="preserve">– The time after which network delays are bounded by Δ and clocks remain synchronized within δ【60263692460511†L11-L27】. Defined in</w:t>
      </w:r>
      <w:r>
        <w:t xml:space="preserve"> </w:t>
      </w:r>
      <w:r>
        <w:rPr>
          <w:iCs/>
          <w:i/>
        </w:rPr>
        <w:t xml:space="preserve">§1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Leader (Proposer)</w:t>
      </w:r>
      <w:r>
        <w:t xml:space="preserve"> </w:t>
      </w:r>
      <w:r>
        <w:t xml:space="preserve">– The validator responsible for proposing a block in a given round. Leaders are selected via the Aegis VRF. See</w:t>
      </w:r>
      <w:r>
        <w:t xml:space="preserve"> </w:t>
      </w:r>
      <w:r>
        <w:rPr>
          <w:iCs/>
          <w:i/>
        </w:rPr>
        <w:t xml:space="preserve">§6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§14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Quorum Certificate (QC)</w:t>
      </w:r>
      <w:r>
        <w:t xml:space="preserve"> </w:t>
      </w:r>
      <w:r>
        <w:t xml:space="preserve">– An aggregated set of votes that proves a block has been endorsed by a quorum of validators. Contains signatures, signers bitmap and weight sum. See</w:t>
      </w:r>
      <w:r>
        <w:t xml:space="preserve"> </w:t>
      </w:r>
      <w:r>
        <w:rPr>
          <w:iCs/>
          <w:i/>
        </w:rPr>
        <w:t xml:space="preserve">§7.2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Randomness Beacon</w:t>
      </w:r>
      <w:r>
        <w:t xml:space="preserve"> </w:t>
      </w:r>
      <w:r>
        <w:t xml:space="preserve">– A publicly verifiable random value used for sampling committees and relayers. Generated via the Aegis VRF and DKG. See</w:t>
      </w:r>
      <w:r>
        <w:t xml:space="preserve"> </w:t>
      </w:r>
      <w:r>
        <w:rPr>
          <w:iCs/>
          <w:i/>
        </w:rPr>
        <w:t xml:space="preserve">§11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Relayer</w:t>
      </w:r>
      <w:r>
        <w:t xml:space="preserve"> </w:t>
      </w:r>
      <w:r>
        <w:t xml:space="preserve">– A validator that monitors external chains and produces cross‑chain attestations for the SXCP. Relayers post bonds and are rewarded from the SXCP pool. See</w:t>
      </w:r>
      <w:r>
        <w:t xml:space="preserve"> </w:t>
      </w:r>
      <w:r>
        <w:rPr>
          <w:iCs/>
          <w:i/>
        </w:rPr>
        <w:t xml:space="preserve">§8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§20.3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Synergy Score</w:t>
      </w:r>
      <w:r>
        <w:t xml:space="preserve"> </w:t>
      </w:r>
      <w:r>
        <w:t xml:space="preserve">– A composite metric combining stake, reputation, contributions and punctuality. Governs both committee selection and reward distribution. Defined in</w:t>
      </w:r>
      <w:r>
        <w:t xml:space="preserve"> </w:t>
      </w:r>
      <w:r>
        <w:rPr>
          <w:iCs/>
          <w:i/>
        </w:rPr>
        <w:t xml:space="preserve">§8.2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SXCP (Synergy Cross‑Chain Protocol)</w:t>
      </w:r>
      <w:r>
        <w:t xml:space="preserve"> </w:t>
      </w:r>
      <w:r>
        <w:t xml:space="preserve">– The asynchronous protocol enabling interoperation with external blockchains. Defines attestation formats, relayer bonding and cross‑chain proof verification. Described in</w:t>
      </w:r>
      <w:r>
        <w:t xml:space="preserve"> </w:t>
      </w:r>
      <w:r>
        <w:rPr>
          <w:iCs/>
          <w:i/>
        </w:rPr>
        <w:t xml:space="preserve">§7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§19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Timeout</w:t>
      </w:r>
      <w:r>
        <w:t xml:space="preserve"> </w:t>
      </w:r>
      <w:r>
        <w:t xml:space="preserve">– A period after which a validator may initiate a view change if no progress occurs. Adaptive timeouts are defined in</w:t>
      </w:r>
      <w:r>
        <w:t xml:space="preserve"> </w:t>
      </w:r>
      <w:r>
        <w:rPr>
          <w:iCs/>
          <w:i/>
        </w:rPr>
        <w:t xml:space="preserve">§10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View Change</w:t>
      </w:r>
      <w:r>
        <w:t xml:space="preserve"> </w:t>
      </w:r>
      <w:r>
        <w:t xml:space="preserve">– A protocol to replace the current leader when progress stalls. Involves collecting timeout messages and selecting a new leader via VRF. See</w:t>
      </w:r>
      <w:r>
        <w:t xml:space="preserve"> </w:t>
      </w:r>
      <w:r>
        <w:rPr>
          <w:iCs/>
          <w:i/>
        </w:rPr>
        <w:t xml:space="preserve">§10.2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Witness</w:t>
      </w:r>
      <w:r>
        <w:t xml:space="preserve"> </w:t>
      </w:r>
      <w:r>
        <w:t xml:space="preserve">– A lightweight agent that observes external chains and publishes witness reports to supplement SXCP attestations. See</w:t>
      </w:r>
      <w:r>
        <w:t xml:space="preserve"> </w:t>
      </w:r>
      <w:r>
        <w:rPr>
          <w:iCs/>
          <w:i/>
        </w:rPr>
        <w:t xml:space="preserve">§7.2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§20.3</w:t>
      </w:r>
      <w:r>
        <w:t xml:space="preserve">.</w:t>
      </w:r>
    </w:p>
    <w:p>
      <w:pPr>
        <w:pStyle w:val="BodyText"/>
      </w:pPr>
      <w:r>
        <w:t xml:space="preserve">Readers are encouraged to consult</w:t>
      </w:r>
      <w:r>
        <w:t xml:space="preserve"> </w:t>
      </w:r>
      <w:r>
        <w:rPr>
          <w:iCs/>
          <w:i/>
        </w:rPr>
        <w:t xml:space="preserve">§2 Notation Reference Guide</w:t>
      </w:r>
      <w:r>
        <w:t xml:space="preserve"> </w:t>
      </w:r>
      <w:r>
        <w:t xml:space="preserve">for a comprehensive symbol table and further definitions.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2025-10-17T07:06:42Z</dcterms:created>
  <dcterms:modified xsi:type="dcterms:W3CDTF">2025-10-17T07:06:42Z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