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18ff227785670705b922a3bfcb963ec61a5273"/>
    <w:p>
      <w:pPr>
        <w:pStyle w:val="Heading1"/>
      </w:pPr>
      <w:r>
        <w:t xml:space="preserve">Appendix E – UMA Key Management and Derivation Commitments</w:t>
      </w:r>
    </w:p>
    <w:p>
      <w:pPr>
        <w:pStyle w:val="FirstParagraph"/>
      </w:pPr>
      <w:r>
        <w:t xml:space="preserve">This appendix specifies how Universal Multi‑asset Addresses (UMAs) are derived, managed and rotated in conjunction with the Aegis PQC suite. Proper key management is vital to maintain security across chains and to ensure interoperability.</w:t>
      </w:r>
    </w:p>
    <w:bookmarkStart w:id="20" w:name="e.1-key-hierarchy-and-derivation"/>
    <w:p>
      <w:pPr>
        <w:pStyle w:val="Heading2"/>
      </w:pPr>
      <w:r>
        <w:t xml:space="preserve">E.1 Key Hierarchy and Derivation</w:t>
      </w:r>
    </w:p>
    <w:p>
      <w:pPr>
        <w:pStyle w:val="FirstParagraph"/>
      </w:pPr>
      <w:r>
        <w:t xml:space="preserve">UMAs represent accounts capable of holding multiple assets across different chains. They are derived from a master seed using hierarchical deterministic (HD) derivation. The derivation path is:</w:t>
      </w:r>
    </w:p>
    <w:p>
      <w:pPr>
        <w:pStyle w:val="SourceCode"/>
      </w:pPr>
      <w:r>
        <w:rPr>
          <w:rStyle w:val="VerbatimChar"/>
        </w:rPr>
        <w:t xml:space="preserve">m / purpose' / coin_type' / account' / chain' / address_index</w:t>
      </w:r>
    </w:p>
    <w:p>
      <w:pPr>
        <w:pStyle w:val="FirstParagraph"/>
      </w:pPr>
      <w:r>
        <w:t xml:space="preserve">Where:</w:t>
      </w:r>
    </w:p>
    <w:p>
      <w:pPr>
        <w:numPr>
          <w:ilvl w:val="0"/>
          <w:numId w:val="1001"/>
        </w:numPr>
        <w:pStyle w:val="Compact"/>
      </w:pPr>
      <w:r>
        <w:rPr>
          <w:rStyle w:val="VerbatimChar"/>
        </w:rPr>
        <w:t xml:space="preserve">purpose</w:t>
      </w:r>
      <w:r>
        <w:t xml:space="preserve"> </w:t>
      </w:r>
      <w:r>
        <w:t xml:space="preserve">– The constant 12345 to denote the Synergy UMA scheme.</w:t>
      </w:r>
    </w:p>
    <w:p>
      <w:pPr>
        <w:numPr>
          <w:ilvl w:val="0"/>
          <w:numId w:val="1001"/>
        </w:numPr>
        <w:pStyle w:val="Compact"/>
      </w:pPr>
      <w:r>
        <w:rPr>
          <w:rStyle w:val="VerbatimChar"/>
        </w:rPr>
        <w:t xml:space="preserve">coin_type</w:t>
      </w:r>
      <w:r>
        <w:t xml:space="preserve"> </w:t>
      </w:r>
      <w:r>
        <w:t xml:space="preserve">– A registered identifier for each external chain (e.g., 60’ for Ethereum, 0’ for Bitcoin).</w:t>
      </w:r>
    </w:p>
    <w:p>
      <w:pPr>
        <w:numPr>
          <w:ilvl w:val="0"/>
          <w:numId w:val="1001"/>
        </w:numPr>
        <w:pStyle w:val="Compact"/>
      </w:pPr>
      <w:r>
        <w:rPr>
          <w:rStyle w:val="VerbatimChar"/>
        </w:rPr>
        <w:t xml:space="preserve">account</w:t>
      </w:r>
      <w:r>
        <w:t xml:space="preserve"> </w:t>
      </w:r>
      <w:r>
        <w:t xml:space="preserve">– User‑selected account number; hardened to avoid collision.</w:t>
      </w:r>
    </w:p>
    <w:p>
      <w:pPr>
        <w:numPr>
          <w:ilvl w:val="0"/>
          <w:numId w:val="1001"/>
        </w:numPr>
        <w:pStyle w:val="Compact"/>
      </w:pPr>
      <w:r>
        <w:rPr>
          <w:rStyle w:val="VerbatimChar"/>
        </w:rPr>
        <w:t xml:space="preserve">chain</w:t>
      </w:r>
      <w:r>
        <w:t xml:space="preserve"> </w:t>
      </w:r>
      <w:r>
        <w:t xml:space="preserve">– 0 for external chains, 1 for PoSy, 2 for SXCP internal operations.</w:t>
      </w:r>
    </w:p>
    <w:p>
      <w:pPr>
        <w:numPr>
          <w:ilvl w:val="0"/>
          <w:numId w:val="1001"/>
        </w:numPr>
        <w:pStyle w:val="Compact"/>
      </w:pPr>
      <w:r>
        <w:rPr>
          <w:rStyle w:val="VerbatimChar"/>
        </w:rPr>
        <w:t xml:space="preserve">address_index</w:t>
      </w:r>
      <w:r>
        <w:t xml:space="preserve"> </w:t>
      </w:r>
      <w:r>
        <w:t xml:space="preserve">– Non‑hardened index for generating multiple addresses.</w:t>
      </w:r>
    </w:p>
    <w:p>
      <w:pPr>
        <w:pStyle w:val="FirstParagraph"/>
      </w:pPr>
      <w:r>
        <w:t xml:space="preserve">Keys are derived using an Aegis Key Derivation Function (KDF) based on BLAKE3 and HKDF. Hardened children ensure that compromise of a child key does not expose its ancestors. Key metadata (derivation path, creation timestamp, last used height) is stored encrypted in the wallet.</w:t>
      </w:r>
    </w:p>
    <w:bookmarkEnd w:id="20"/>
    <w:bookmarkStart w:id="21" w:name="e.2-address-encoding"/>
    <w:p>
      <w:pPr>
        <w:pStyle w:val="Heading2"/>
      </w:pPr>
      <w:r>
        <w:t xml:space="preserve">E.2 Address Encoding</w:t>
      </w:r>
    </w:p>
    <w:p>
      <w:pPr>
        <w:pStyle w:val="FirstParagraph"/>
      </w:pPr>
      <w:r>
        <w:t xml:space="preserve">UMAs are encoded using</w:t>
      </w:r>
      <w:r>
        <w:t xml:space="preserve"> </w:t>
      </w:r>
      <w:r>
        <w:rPr>
          <w:bCs/>
          <w:b/>
        </w:rPr>
        <w:t xml:space="preserve">Bech32m</w:t>
      </w:r>
      <w:r>
        <w:t xml:space="preserve">, a human‑readable format featuring a checksum resistant to human transcription errors. The HRP (human readable part) indicates the destination chain or purpose. Examples:</w:t>
      </w:r>
    </w:p>
    <w:p>
      <w:pPr>
        <w:numPr>
          <w:ilvl w:val="0"/>
          <w:numId w:val="1002"/>
        </w:numPr>
        <w:pStyle w:val="Compact"/>
      </w:pPr>
      <w:r>
        <w:rPr>
          <w:rStyle w:val="VerbatimChar"/>
        </w:rPr>
        <w:t xml:space="preserve">syg1q…</w:t>
      </w:r>
      <w:r>
        <w:t xml:space="preserve"> </w:t>
      </w:r>
      <w:r>
        <w:t xml:space="preserve">– Standard PoSy UMA</w:t>
      </w:r>
    </w:p>
    <w:p>
      <w:pPr>
        <w:numPr>
          <w:ilvl w:val="0"/>
          <w:numId w:val="1002"/>
        </w:numPr>
        <w:pStyle w:val="Compact"/>
      </w:pPr>
      <w:r>
        <w:rPr>
          <w:rStyle w:val="VerbatimChar"/>
        </w:rPr>
        <w:t xml:space="preserve">syge1q…</w:t>
      </w:r>
      <w:r>
        <w:t xml:space="preserve"> </w:t>
      </w:r>
      <w:r>
        <w:t xml:space="preserve">– UMA associated with Ethereum cross‑chain operations</w:t>
      </w:r>
    </w:p>
    <w:p>
      <w:pPr>
        <w:numPr>
          <w:ilvl w:val="0"/>
          <w:numId w:val="1002"/>
        </w:numPr>
        <w:pStyle w:val="Compact"/>
      </w:pPr>
      <w:r>
        <w:rPr>
          <w:rStyle w:val="VerbatimChar"/>
        </w:rPr>
        <w:t xml:space="preserve">sygb1q…</w:t>
      </w:r>
      <w:r>
        <w:t xml:space="preserve"> </w:t>
      </w:r>
      <w:r>
        <w:t xml:space="preserve">– UMA associated with Bitcoin operations</w:t>
      </w:r>
    </w:p>
    <w:p>
      <w:pPr>
        <w:pStyle w:val="FirstParagraph"/>
      </w:pPr>
      <w:r>
        <w:t xml:space="preserve">Wallet software must verify the checksum and reject malformed addresses. A length limit of 90 characters is recommended.</w:t>
      </w:r>
    </w:p>
    <w:bookmarkEnd w:id="21"/>
    <w:bookmarkStart w:id="22" w:name="e.3-key-lifecycle-and-rotation"/>
    <w:p>
      <w:pPr>
        <w:pStyle w:val="Heading2"/>
      </w:pPr>
      <w:r>
        <w:t xml:space="preserve">E.3 Key Lifecycle and Rotation</w:t>
      </w:r>
    </w:p>
    <w:p>
      <w:pPr>
        <w:pStyle w:val="FirstParagraph"/>
      </w:pPr>
      <w:r>
        <w:t xml:space="preserve">Keys used for signing consensus messages, SXCP attestations and witness reports must be periodically rotated to limit the impact of key compromise. The lifecycle phases are:</w:t>
      </w:r>
    </w:p>
    <w:p>
      <w:pPr>
        <w:numPr>
          <w:ilvl w:val="0"/>
          <w:numId w:val="1003"/>
        </w:numPr>
        <w:pStyle w:val="Compact"/>
      </w:pPr>
      <w:r>
        <w:rPr>
          <w:bCs/>
          <w:b/>
        </w:rPr>
        <w:t xml:space="preserve">Generation:</w:t>
      </w:r>
      <w:r>
        <w:t xml:space="preserve"> </w:t>
      </w:r>
      <w:r>
        <w:t xml:space="preserve">Keys are generated from entropy and derived using the HD scheme above. Private keys never leave secure hardware modules (e.g., HSMs or secure enclaves).</w:t>
      </w:r>
    </w:p>
    <w:p>
      <w:pPr>
        <w:numPr>
          <w:ilvl w:val="0"/>
          <w:numId w:val="1003"/>
        </w:numPr>
        <w:pStyle w:val="Compact"/>
      </w:pPr>
      <w:r>
        <w:rPr>
          <w:bCs/>
          <w:b/>
        </w:rPr>
        <w:t xml:space="preserve">Activation:</w:t>
      </w:r>
      <w:r>
        <w:t xml:space="preserve"> </w:t>
      </w:r>
      <w:r>
        <w:t xml:space="preserve">After a key is generated, it becomes active for signing consensus or SXCP messages. The corresponding public key is announced via on‑chain transactions and included in the validator registry.</w:t>
      </w:r>
    </w:p>
    <w:p>
      <w:pPr>
        <w:numPr>
          <w:ilvl w:val="0"/>
          <w:numId w:val="1003"/>
        </w:numPr>
        <w:pStyle w:val="Compact"/>
      </w:pPr>
      <w:r>
        <w:rPr>
          <w:bCs/>
          <w:b/>
        </w:rPr>
        <w:t xml:space="preserve">Usage:</w:t>
      </w:r>
      <w:r>
        <w:t xml:space="preserve"> </w:t>
      </w:r>
      <w:r>
        <w:t xml:space="preserve">Keys remain active for a predefined number of epochs (e.g., 90 days). During this time, they must sign all required messages. Wallet software monitors usage counts and age.</w:t>
      </w:r>
    </w:p>
    <w:p>
      <w:pPr>
        <w:numPr>
          <w:ilvl w:val="0"/>
          <w:numId w:val="1003"/>
        </w:numPr>
        <w:pStyle w:val="Compact"/>
      </w:pPr>
      <w:r>
        <w:rPr>
          <w:bCs/>
          <w:b/>
        </w:rPr>
        <w:t xml:space="preserve">Rotation:</w:t>
      </w:r>
      <w:r>
        <w:t xml:space="preserve"> </w:t>
      </w:r>
      <w:r>
        <w:t xml:space="preserve">Prior to expiration, a new key is generated and activated. Messages signed with the old key remain valid, but the old key may no longer sign new messages. Rotations are announced on‑chain and tracked in the UMA registry.</w:t>
      </w:r>
    </w:p>
    <w:p>
      <w:pPr>
        <w:numPr>
          <w:ilvl w:val="0"/>
          <w:numId w:val="1003"/>
        </w:numPr>
        <w:pStyle w:val="Compact"/>
      </w:pPr>
      <w:r>
        <w:rPr>
          <w:bCs/>
          <w:b/>
        </w:rPr>
        <w:t xml:space="preserve">Retirement:</w:t>
      </w:r>
      <w:r>
        <w:t xml:space="preserve"> </w:t>
      </w:r>
      <w:r>
        <w:t xml:space="preserve">After a grace period, old keys are retired and should be destroyed. Retired keys are retained only for signature verification on historical data.</w:t>
      </w:r>
    </w:p>
    <w:p>
      <w:pPr>
        <w:pStyle w:val="FirstParagraph"/>
      </w:pPr>
      <w:r>
        <w:t xml:space="preserve">Key rotation scheduling must avoid simultaneous expiration of many validators’ keys, which could jeopardize liveness. The protocol recommends random staggering of rotation within a window. Validators failing to rotate keys within the window are marked delinquent and may be removed from the active set.</w:t>
      </w:r>
    </w:p>
    <w:bookmarkEnd w:id="22"/>
    <w:bookmarkStart w:id="23" w:name="e.4-commitments-and-forward-secrecy"/>
    <w:p>
      <w:pPr>
        <w:pStyle w:val="Heading2"/>
      </w:pPr>
      <w:r>
        <w:t xml:space="preserve">E.4 Commitments and Forward Secrecy</w:t>
      </w:r>
    </w:p>
    <w:p>
      <w:pPr>
        <w:pStyle w:val="FirstParagraph"/>
      </w:pPr>
      <w:r>
        <w:t xml:space="preserve">To bind a UMA to a particular Aegis key without revealing the key prematurely, validators publish</w:t>
      </w:r>
      <w:r>
        <w:t xml:space="preserve"> </w:t>
      </w:r>
      <w:r>
        <w:rPr>
          <w:bCs/>
          <w:b/>
        </w:rPr>
        <w:t xml:space="preserve">derivation commitments</w:t>
      </w:r>
      <w:r>
        <w:t xml:space="preserve">. A commitment is a BLAKE3 hash of the public key concatenated with a nonce. When the key becomes active, validators reveal the public key and nonce so that others can verify the commitment. This prevents substitution attacks where a malicious relayer attempts to associate a UMA with a different key.</w:t>
      </w:r>
    </w:p>
    <w:p>
      <w:pPr>
        <w:pStyle w:val="BodyText"/>
      </w:pPr>
      <w:r>
        <w:t xml:space="preserve">Forward secrecy is enhanced by using distinct subkeys for consensus, SXCP attestation, DA sampling and witness reports. Even if one subkey is compromised, the attacker cannot sign other types of messages. Wallet implementations must segregate these subkeys and ensure that key derivation paths do not overlap.</w:t>
      </w:r>
    </w:p>
    <w:p>
      <w:pPr>
        <w:pStyle w:val="BodyText"/>
      </w:pPr>
      <w:r>
        <w:t xml:space="preserve">Further security guidelines, including hardware wallet recommendations and recovery procedures, are available in the Synergy Network developer portal.</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2025-10-17T07:06:43Z</dcterms:created>
  <dcterms:modified xsi:type="dcterms:W3CDTF">2025-10-17T07:06:43Z</dcterms:modified>
</cp:coreProperties>
</file>

<file path=docProps/custom.xml><?xml version="1.0" encoding="utf-8"?>
<Properties xmlns="http://schemas.openxmlformats.org/officeDocument/2006/custom-properties" xmlns:vt="http://schemas.openxmlformats.org/officeDocument/2006/docPropsVTypes"/>
</file>