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5ca341c098eb0707519a1163631e5ffccf180f"/>
    <w:p>
      <w:pPr>
        <w:pStyle w:val="Heading1"/>
      </w:pPr>
      <w:r>
        <w:t xml:space="preserve">Appendix F – Emergency Governance Procedures</w:t>
      </w:r>
    </w:p>
    <w:p>
      <w:pPr>
        <w:pStyle w:val="FirstParagraph"/>
      </w:pPr>
      <w:r>
        <w:t xml:space="preserve">This appendix outlines the mechanisms for invoking and executing emergency governance actions. Emergencies may arise from critical consensus failures, catastrophic bugs, large‑scale validator compromises or severe SXCP misbehavior. The goal is to restore network security and integrity while preserving decentralization.</w:t>
      </w:r>
    </w:p>
    <w:bookmarkStart w:id="20" w:name="f.1-triggers"/>
    <w:p>
      <w:pPr>
        <w:pStyle w:val="Heading2"/>
      </w:pPr>
      <w:r>
        <w:t xml:space="preserve">F.1 Triggers</w:t>
      </w:r>
    </w:p>
    <w:p>
      <w:pPr>
        <w:pStyle w:val="FirstParagraph"/>
      </w:pPr>
      <w:r>
        <w:t xml:space="preserve">An emergency procedure may be triggered when any of the following conditions are detected:</w:t>
      </w:r>
    </w:p>
    <w:p>
      <w:pPr>
        <w:numPr>
          <w:ilvl w:val="0"/>
          <w:numId w:val="1001"/>
        </w:numPr>
        <w:pStyle w:val="Compact"/>
      </w:pPr>
      <w:r>
        <w:rPr>
          <w:bCs/>
          <w:b/>
        </w:rPr>
        <w:t xml:space="preserve">Consensus halt:</w:t>
      </w:r>
      <w:r>
        <w:t xml:space="preserve"> </w:t>
      </w:r>
      <w:r>
        <w:t xml:space="preserve">No blocks have been finalized for a specified number of epochs despite view changes and timeouts.</w:t>
      </w:r>
    </w:p>
    <w:p>
      <w:pPr>
        <w:numPr>
          <w:ilvl w:val="0"/>
          <w:numId w:val="1001"/>
        </w:numPr>
        <w:pStyle w:val="Compact"/>
      </w:pPr>
      <w:r>
        <w:rPr>
          <w:bCs/>
          <w:b/>
        </w:rPr>
        <w:t xml:space="preserve">Critical vulnerability:</w:t>
      </w:r>
      <w:r>
        <w:t xml:space="preserve"> </w:t>
      </w:r>
      <w:r>
        <w:t xml:space="preserve">A cryptographic flaw or implementation bug exposes keys or allows arbitrary signature forgeries (e.g., Aegis vulnerability).</w:t>
      </w:r>
    </w:p>
    <w:p>
      <w:pPr>
        <w:numPr>
          <w:ilvl w:val="0"/>
          <w:numId w:val="1001"/>
        </w:numPr>
        <w:pStyle w:val="Compact"/>
      </w:pPr>
      <w:r>
        <w:rPr>
          <w:bCs/>
          <w:b/>
        </w:rPr>
        <w:t xml:space="preserve">Mass slashing event:</w:t>
      </w:r>
      <w:r>
        <w:t xml:space="preserve"> </w:t>
      </w:r>
      <w:r>
        <w:t xml:space="preserve">A large fraction of validators (&gt; f) is slashed simultaneously, threatening chain security.</w:t>
      </w:r>
    </w:p>
    <w:p>
      <w:pPr>
        <w:numPr>
          <w:ilvl w:val="0"/>
          <w:numId w:val="1001"/>
        </w:numPr>
        <w:pStyle w:val="Compact"/>
      </w:pPr>
      <w:r>
        <w:rPr>
          <w:bCs/>
          <w:b/>
        </w:rPr>
        <w:t xml:space="preserve">SXCP compromise:</w:t>
      </w:r>
      <w:r>
        <w:t xml:space="preserve"> </w:t>
      </w:r>
      <w:r>
        <w:t xml:space="preserve">Evidence of coordinated mis‑signatures resulting in fraudulent cross‑chain transfers or loss of user funds.</w:t>
      </w:r>
    </w:p>
    <w:p>
      <w:pPr>
        <w:pStyle w:val="FirstParagraph"/>
      </w:pPr>
      <w:r>
        <w:t xml:space="preserve">Anyone may submit an on‑chain proposal to invoke emergency procedures. The proposal includes a description of the incident and supporting evidence. A minimum deposit is required to prevent spam.</w:t>
      </w:r>
    </w:p>
    <w:bookmarkEnd w:id="20"/>
    <w:bookmarkStart w:id="21" w:name="f.2-security-council-multisig"/>
    <w:p>
      <w:pPr>
        <w:pStyle w:val="Heading2"/>
      </w:pPr>
      <w:r>
        <w:t xml:space="preserve">F.2 Security Council Multisig</w:t>
      </w:r>
    </w:p>
    <w:p>
      <w:pPr>
        <w:pStyle w:val="FirstParagraph"/>
      </w:pPr>
      <w:r>
        <w:t xml:space="preserve">During emergencies, rapid action may be necessary. A</w:t>
      </w:r>
      <w:r>
        <w:t xml:space="preserve"> </w:t>
      </w:r>
      <w:r>
        <w:rPr>
          <w:bCs/>
          <w:b/>
        </w:rPr>
        <w:t xml:space="preserve">Security Council</w:t>
      </w:r>
      <w:r>
        <w:t xml:space="preserve">, comprised of a diverse set of independent experts and community representatives, holds a multisignature wallet capable of enacting critical measures. The multisig has the following powers:</w:t>
      </w:r>
    </w:p>
    <w:p>
      <w:pPr>
        <w:numPr>
          <w:ilvl w:val="0"/>
          <w:numId w:val="1002"/>
        </w:numPr>
        <w:pStyle w:val="Compact"/>
      </w:pPr>
      <w:r>
        <w:rPr>
          <w:bCs/>
          <w:b/>
        </w:rPr>
        <w:t xml:space="preserve">Pause/resume consensus and SXCP:</w:t>
      </w:r>
      <w:r>
        <w:t xml:space="preserve"> </w:t>
      </w:r>
      <w:r>
        <w:t xml:space="preserve">Temporarily halt block production or cross‑chain operations until the incident is resolved.</w:t>
      </w:r>
    </w:p>
    <w:p>
      <w:pPr>
        <w:numPr>
          <w:ilvl w:val="0"/>
          <w:numId w:val="1002"/>
        </w:numPr>
        <w:pStyle w:val="Compact"/>
      </w:pPr>
      <w:r>
        <w:rPr>
          <w:bCs/>
          <w:b/>
        </w:rPr>
        <w:t xml:space="preserve">Upgrade critical contracts:</w:t>
      </w:r>
      <w:r>
        <w:t xml:space="preserve"> </w:t>
      </w:r>
      <w:r>
        <w:t xml:space="preserve">Deploy hot fixes to contracts implementing consensus logic, SXCP verification and slashing algorithms.</w:t>
      </w:r>
    </w:p>
    <w:p>
      <w:pPr>
        <w:numPr>
          <w:ilvl w:val="0"/>
          <w:numId w:val="1002"/>
        </w:numPr>
        <w:pStyle w:val="Compact"/>
      </w:pPr>
      <w:r>
        <w:rPr>
          <w:bCs/>
          <w:b/>
        </w:rPr>
        <w:t xml:space="preserve">Slash or restore validators:</w:t>
      </w:r>
      <w:r>
        <w:t xml:space="preserve"> </w:t>
      </w:r>
      <w:r>
        <w:t xml:space="preserve">Execute emergency slashes or reinstate unjustly slashed validators based on investigation outcomes.</w:t>
      </w:r>
    </w:p>
    <w:p>
      <w:pPr>
        <w:numPr>
          <w:ilvl w:val="0"/>
          <w:numId w:val="1002"/>
        </w:numPr>
        <w:pStyle w:val="Compact"/>
      </w:pPr>
      <w:r>
        <w:rPr>
          <w:bCs/>
          <w:b/>
        </w:rPr>
        <w:t xml:space="preserve">Release incident reports:</w:t>
      </w:r>
      <w:r>
        <w:t xml:space="preserve"> </w:t>
      </w:r>
      <w:r>
        <w:t xml:space="preserve">Publish transparent reports detailing the cause of the emergency and remediation steps.</w:t>
      </w:r>
    </w:p>
    <w:p>
      <w:pPr>
        <w:pStyle w:val="FirstParagraph"/>
      </w:pPr>
      <w:r>
        <w:t xml:space="preserve">A supermajority of council members (e.g., 7/9) is required to execute any action. Council members are subject to term limits and may be removed by community vote.</w:t>
      </w:r>
    </w:p>
    <w:bookmarkEnd w:id="21"/>
    <w:bookmarkStart w:id="22" w:name="f.3-incident-log-and-autosunset"/>
    <w:p>
      <w:pPr>
        <w:pStyle w:val="Heading2"/>
      </w:pPr>
      <w:r>
        <w:t xml:space="preserve">F.3 Incident Log and Auto‑Sunset</w:t>
      </w:r>
    </w:p>
    <w:p>
      <w:pPr>
        <w:pStyle w:val="FirstParagraph"/>
      </w:pPr>
      <w:r>
        <w:t xml:space="preserve">All emergency actions are recorded in an</w:t>
      </w:r>
      <w:r>
        <w:t xml:space="preserve"> </w:t>
      </w:r>
      <w:r>
        <w:rPr>
          <w:bCs/>
          <w:b/>
        </w:rPr>
        <w:t xml:space="preserve">Incident Log</w:t>
      </w:r>
      <w:r>
        <w:t xml:space="preserve">—an append‑only data structure stored on‑chain. Each entry contains: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timestamp</w:t>
            </w:r>
          </w:p>
        </w:tc>
        <w:tc>
          <w:tcPr/>
          <w:p>
            <w:pPr>
              <w:pStyle w:val="Compact"/>
              <w:jc w:val="left"/>
            </w:pPr>
            <w:r>
              <w:t xml:space="preserve">Unix time of action</w:t>
            </w:r>
          </w:p>
        </w:tc>
      </w:tr>
      <w:tr>
        <w:tc>
          <w:tcPr/>
          <w:p>
            <w:pPr>
              <w:pStyle w:val="Compact"/>
              <w:jc w:val="left"/>
            </w:pPr>
            <w:r>
              <w:rPr>
                <w:rStyle w:val="VerbatimChar"/>
              </w:rPr>
              <w:t xml:space="preserve">trigger_id</w:t>
            </w:r>
          </w:p>
        </w:tc>
        <w:tc>
          <w:tcPr/>
          <w:p>
            <w:pPr>
              <w:pStyle w:val="Compact"/>
              <w:jc w:val="left"/>
            </w:pPr>
            <w:r>
              <w:t xml:space="preserve">Hash of the emergency proposal that initiated the action</w:t>
            </w:r>
          </w:p>
        </w:tc>
      </w:tr>
      <w:tr>
        <w:tc>
          <w:tcPr/>
          <w:p>
            <w:pPr>
              <w:pStyle w:val="Compact"/>
              <w:jc w:val="left"/>
            </w:pPr>
            <w:r>
              <w:rPr>
                <w:rStyle w:val="VerbatimChar"/>
              </w:rPr>
              <w:t xml:space="preserve">action</w:t>
            </w:r>
          </w:p>
        </w:tc>
        <w:tc>
          <w:tcPr/>
          <w:p>
            <w:pPr>
              <w:pStyle w:val="Compact"/>
              <w:jc w:val="left"/>
            </w:pPr>
            <w:r>
              <w:t xml:space="preserve">Description of the action (pause, upgrade, slash, restore)</w:t>
            </w:r>
          </w:p>
        </w:tc>
      </w:tr>
      <w:tr>
        <w:tc>
          <w:tcPr/>
          <w:p>
            <w:pPr>
              <w:pStyle w:val="Compact"/>
              <w:jc w:val="left"/>
            </w:pPr>
            <w:r>
              <w:rPr>
                <w:rStyle w:val="VerbatimChar"/>
              </w:rPr>
              <w:t xml:space="preserve">parameters</w:t>
            </w:r>
          </w:p>
        </w:tc>
        <w:tc>
          <w:tcPr/>
          <w:p>
            <w:pPr>
              <w:pStyle w:val="Compact"/>
              <w:jc w:val="left"/>
            </w:pPr>
            <w:r>
              <w:t xml:space="preserve">Any parameters associated with the action (e.g., contract address, validator IDs)</w:t>
            </w:r>
          </w:p>
        </w:tc>
      </w:tr>
      <w:tr>
        <w:tc>
          <w:tcPr/>
          <w:p>
            <w:pPr>
              <w:pStyle w:val="Compact"/>
              <w:jc w:val="left"/>
            </w:pPr>
            <w:r>
              <w:rPr>
                <w:rStyle w:val="VerbatimChar"/>
              </w:rPr>
              <w:t xml:space="preserve">council_signatures</w:t>
            </w:r>
          </w:p>
        </w:tc>
        <w:tc>
          <w:tcPr/>
          <w:p>
            <w:pPr>
              <w:pStyle w:val="Compact"/>
              <w:jc w:val="left"/>
            </w:pPr>
            <w:r>
              <w:t xml:space="preserve">Multisignature from council members approving the action</w:t>
            </w:r>
          </w:p>
        </w:tc>
      </w:tr>
    </w:tbl>
    <w:p>
      <w:pPr>
        <w:pStyle w:val="BodyText"/>
      </w:pPr>
      <w:r>
        <w:t xml:space="preserve">The log is immutable; entries cannot be edited or removed. Once the emergency is resolved, a</w:t>
      </w:r>
      <w:r>
        <w:t xml:space="preserve"> </w:t>
      </w:r>
      <w:r>
        <w:rPr>
          <w:bCs/>
          <w:b/>
        </w:rPr>
        <w:t xml:space="preserve">sunset timer</w:t>
      </w:r>
      <w:r>
        <w:t xml:space="preserve"> </w:t>
      </w:r>
      <w:r>
        <w:t xml:space="preserve">is started. After the timer expires (e.g., 30 days), emergency privileges automatically lapse and normal governance resumes. Any remaining powers of the Security Council are disabled unless re‑authorized via a community vote.</w:t>
      </w:r>
    </w:p>
    <w:bookmarkEnd w:id="22"/>
    <w:bookmarkStart w:id="23" w:name="f.4-community-oversight"/>
    <w:p>
      <w:pPr>
        <w:pStyle w:val="Heading2"/>
      </w:pPr>
      <w:r>
        <w:t xml:space="preserve">F.4 Community Oversight</w:t>
      </w:r>
    </w:p>
    <w:p>
      <w:pPr>
        <w:pStyle w:val="FirstParagraph"/>
      </w:pPr>
      <w:r>
        <w:t xml:space="preserve">To prevent abuse, the community maintains oversight over the Security Council. Mechanisms include:</w:t>
      </w:r>
    </w:p>
    <w:p>
      <w:pPr>
        <w:numPr>
          <w:ilvl w:val="0"/>
          <w:numId w:val="1003"/>
        </w:numPr>
        <w:pStyle w:val="Compact"/>
      </w:pPr>
      <w:r>
        <w:rPr>
          <w:bCs/>
          <w:b/>
        </w:rPr>
        <w:t xml:space="preserve">Veto right:</w:t>
      </w:r>
      <w:r>
        <w:t xml:space="preserve"> </w:t>
      </w:r>
      <w:r>
        <w:t xml:space="preserve">A quorum of validators (e.g., &gt; 50 % of normalized weight) can veto an emergency action within a short time window (24 hours). Vetoes are submitted as on‑chain transactions referencing the incident log entry.</w:t>
      </w:r>
    </w:p>
    <w:p>
      <w:pPr>
        <w:numPr>
          <w:ilvl w:val="0"/>
          <w:numId w:val="1003"/>
        </w:numPr>
        <w:pStyle w:val="Compact"/>
      </w:pPr>
      <w:r>
        <w:rPr>
          <w:bCs/>
          <w:b/>
        </w:rPr>
        <w:t xml:space="preserve">Post‑mortem review:</w:t>
      </w:r>
      <w:r>
        <w:t xml:space="preserve"> </w:t>
      </w:r>
      <w:r>
        <w:t xml:space="preserve">After each emergency, an independent review committee publishes a report evaluating the council’s actions, identifying process improvements and recommending council member changes if necessary.</w:t>
      </w:r>
    </w:p>
    <w:p>
      <w:pPr>
        <w:numPr>
          <w:ilvl w:val="0"/>
          <w:numId w:val="1003"/>
        </w:numPr>
        <w:pStyle w:val="Compact"/>
      </w:pPr>
      <w:r>
        <w:rPr>
          <w:bCs/>
          <w:b/>
        </w:rPr>
        <w:t xml:space="preserve">Transparent elections:</w:t>
      </w:r>
      <w:r>
        <w:t xml:space="preserve"> </w:t>
      </w:r>
      <w:r>
        <w:t xml:space="preserve">Council seats are elected via token holder voting. Candidates must disclose affiliations and conflicts of interest.</w:t>
      </w:r>
    </w:p>
    <w:p>
      <w:pPr>
        <w:pStyle w:val="FirstParagraph"/>
      </w:pPr>
      <w:r>
        <w:t xml:space="preserve">These procedures balance the need for rapid response against the principles of decentralization and community governance. The specifics (quorum thresholds, time windows, council size) may evolve over time and are codified in governance contracts.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2025-10-17T07:06:43Z</dcterms:created>
  <dcterms:modified xsi:type="dcterms:W3CDTF">2025-10-17T07:06:43Z</dcterms:modified>
</cp:coreProperties>
</file>

<file path=docProps/custom.xml><?xml version="1.0" encoding="utf-8"?>
<Properties xmlns="http://schemas.openxmlformats.org/officeDocument/2006/custom-properties" xmlns:vt="http://schemas.openxmlformats.org/officeDocument/2006/docPropsVTypes"/>
</file>