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SUIP-S-XSig-Spec — 00: ToC &amp; Intro</w:t>
      </w:r>
    </w:p>
    <w:p>
      <w:pPr>
        <w:jc w:val="center"/>
      </w:pPr>
      <w:r>
        <w:t>Version: v0.1-draft</w:t>
      </w:r>
    </w:p>
    <w:p>
      <w:pPr>
        <w:jc w:val="center"/>
      </w:pPr>
      <w:r>
        <w:t>Date: 2025-10-14</w:t>
      </w:r>
    </w:p>
    <w:p>
      <w:pPr>
        <w:jc w:val="center"/>
      </w:pPr>
      <w:r>
        <w:t>Author: Justin Hutzler</w:t>
      </w:r>
    </w:p>
    <w:p/>
    <w:p>
      <w:pPr>
        <w:pStyle w:val="Heading1"/>
      </w:pPr>
      <w:r>
        <w:t>I. Introduction &amp; Scope</w:t>
      </w:r>
    </w:p>
    <w:p>
      <w:pPr>
        <w:pStyle w:val="Heading2"/>
      </w:pPr>
      <w:r>
        <w:t>0‑A) Purpose &amp; Non‑Goals</w:t>
      </w:r>
    </w:p>
    <w:p>
      <w:pPr>
        <w:pStyle w:val="Heading2"/>
      </w:pPr>
      <w:r>
        <w:t>0‑B) Threat Model Overview</w:t>
      </w:r>
    </w:p>
    <w:p>
      <w:pPr>
        <w:pStyle w:val="Heading2"/>
      </w:pPr>
      <w:r>
        <w:t>0‑C) Architectural Relationship to PoSy, AI‑AIVM, SynQ</w:t>
      </w:r>
    </w:p>
    <w:p>
      <w:pPr>
        <w:pStyle w:val="Heading1"/>
      </w:pPr>
      <w:r>
        <w:t>II. System Model &amp; Assumptions</w:t>
      </w:r>
    </w:p>
    <w:p>
      <w:pPr>
        <w:pStyle w:val="Heading2"/>
      </w:pPr>
      <w:r>
        <w:t>1) Actors &amp; Roles: Users, Wallets, Relayers, S‑XSig Signers, Watchers, Governance</w:t>
      </w:r>
    </w:p>
    <w:p>
      <w:pPr>
        <w:pStyle w:val="Heading2"/>
      </w:pPr>
      <w:r>
        <w:t>2) Trust &amp; Fault Assumptions</w:t>
      </w:r>
    </w:p>
    <w:p>
      <w:pPr>
        <w:pStyle w:val="Heading2"/>
      </w:pPr>
      <w:r>
        <w:t>3) Timing &amp; Finality Assumptions (per destination chain)</w:t>
      </w:r>
    </w:p>
    <w:p>
      <w:pPr>
        <w:pStyle w:val="Heading2"/>
      </w:pPr>
      <w:r>
        <w:t>4) Cryptographic Suites (Classical + PQC Control‑Plane)</w:t>
      </w:r>
    </w:p>
    <w:p>
      <w:pPr>
        <w:pStyle w:val="Heading1"/>
      </w:pPr>
      <w:r>
        <w:t>III. Core Architecture</w:t>
      </w:r>
    </w:p>
    <w:p>
      <w:pPr>
        <w:pStyle w:val="Heading2"/>
      </w:pPr>
      <w:r>
        <w:t>4) High‑Level Overview (Bridge‑less by default)</w:t>
      </w:r>
    </w:p>
    <w:p>
      <w:pPr>
        <w:pStyle w:val="Heading2"/>
      </w:pPr>
      <w:r>
        <w:t>5) UMA‑Mapped Keys &amp; HTKD (Hierarchical Threshold Key Derivation)</w:t>
      </w:r>
    </w:p>
    <w:p>
      <w:pPr>
        <w:pStyle w:val="Heading2"/>
      </w:pPr>
      <w:r>
        <w:t>6) Signer Registry &amp; Bonds (separate from validators)</w:t>
      </w:r>
    </w:p>
    <w:p>
      <w:pPr>
        <w:pStyle w:val="Heading2"/>
      </w:pPr>
      <w:r>
        <w:t>7) Epoch Keys &amp; Committee Rotation (PoSy‑randomized)</w:t>
      </w:r>
    </w:p>
    <w:p>
      <w:pPr>
        <w:pStyle w:val="Heading2"/>
      </w:pPr>
      <w:r>
        <w:t>8) Intent Router Contract</w:t>
      </w:r>
    </w:p>
    <w:p>
      <w:pPr>
        <w:pStyle w:val="Heading2"/>
      </w:pPr>
      <w:r>
        <w:t>9) TSS/MPC Engine &amp; Public Transcript Anchors</w:t>
      </w:r>
    </w:p>
    <w:p>
      <w:pPr>
        <w:pStyle w:val="Heading2"/>
      </w:pPr>
      <w:r>
        <w:t>10) Relay &amp; Fee‑Escrow/Reimbursement Model</w:t>
      </w:r>
    </w:p>
    <w:p>
      <w:pPr>
        <w:pStyle w:val="Heading2"/>
      </w:pPr>
      <w:r>
        <w:t>11) Receipt Anchor &amp; Proof Subsystem (SPV/Receipts/ZK LC roadmap)</w:t>
      </w:r>
    </w:p>
    <w:p>
      <w:pPr>
        <w:pStyle w:val="Heading1"/>
      </w:pPr>
      <w:r>
        <w:t>IV. Cross‑Chain Transaction Lifecycle</w:t>
      </w:r>
    </w:p>
    <w:p>
      <w:pPr>
        <w:pStyle w:val="Heading2"/>
      </w:pPr>
      <w:r>
        <w:t>12) Intent Authoring &amp; Domain Separation</w:t>
      </w:r>
    </w:p>
    <w:p>
      <w:pPr>
        <w:pStyle w:val="Heading2"/>
      </w:pPr>
      <w:r>
        <w:t>13) Committee Selection &amp; Key Materialization</w:t>
      </w:r>
    </w:p>
    <w:p>
      <w:pPr>
        <w:pStyle w:val="Heading2"/>
      </w:pPr>
      <w:r>
        <w:t>14) TSS Round Protocols (EVM‑FROST‑ECDSA, SOL‑FROST‑Ed25519, BTC‑MuSig2)</w:t>
      </w:r>
    </w:p>
    <w:p>
      <w:pPr>
        <w:pStyle w:val="Heading2"/>
      </w:pPr>
      <w:r>
        <w:t>15) Broadcast, Rebroadcast, and Gas Policies</w:t>
      </w:r>
    </w:p>
    <w:p>
      <w:pPr>
        <w:pStyle w:val="Heading2"/>
      </w:pPr>
      <w:r>
        <w:t>16) Finality Detection per Chain</w:t>
      </w:r>
    </w:p>
    <w:p>
      <w:pPr>
        <w:pStyle w:val="Heading2"/>
      </w:pPr>
      <w:r>
        <w:t>17) Receipt Anchoring on Synergy</w:t>
      </w:r>
    </w:p>
    <w:p>
      <w:pPr>
        <w:pStyle w:val="Heading2"/>
      </w:pPr>
      <w:r>
        <w:t>18) Failure Modes &amp; Recovery (timeouts, reorgs, fee bumping)</w:t>
      </w:r>
    </w:p>
    <w:p>
      <w:pPr>
        <w:pStyle w:val="Heading1"/>
      </w:pPr>
      <w:r>
        <w:t>V. Security &amp; Economics</w:t>
      </w:r>
    </w:p>
    <w:p>
      <w:pPr>
        <w:pStyle w:val="Heading2"/>
      </w:pPr>
      <w:r>
        <w:t>19) Security Properties (No‑Bridge Asset Settlement)</w:t>
      </w:r>
    </w:p>
    <w:p>
      <w:pPr>
        <w:pStyle w:val="Heading2"/>
      </w:pPr>
      <w:r>
        <w:t>20) Misbehavior Types &amp; Evidence</w:t>
      </w:r>
    </w:p>
    <w:p>
      <w:pPr>
        <w:pStyle w:val="Heading2"/>
      </w:pPr>
      <w:r>
        <w:t>21) Slashing Rules (Non‑delivery, Equivocation, Aggregator‑DoS)</w:t>
      </w:r>
    </w:p>
    <w:p>
      <w:pPr>
        <w:pStyle w:val="Heading2"/>
      </w:pPr>
      <w:r>
        <w:t>22) Watcher Network &amp; Bounties</w:t>
      </w:r>
    </w:p>
    <w:p>
      <w:pPr>
        <w:pStyle w:val="Heading2"/>
      </w:pPr>
      <w:r>
        <w:t>23) Economic Parameters (threshold t, quorum size, fees)</w:t>
      </w:r>
    </w:p>
    <w:p>
      <w:pPr>
        <w:pStyle w:val="Heading1"/>
      </w:pPr>
      <w:r>
        <w:t>VI. PQC Integration (Control‑Plane)</w:t>
      </w:r>
    </w:p>
    <w:p>
      <w:pPr>
        <w:pStyle w:val="Heading2"/>
      </w:pPr>
      <w:r>
        <w:t>24) PQ Attested Signatures (Dilithium) over intent payloads</w:t>
      </w:r>
    </w:p>
    <w:p>
      <w:pPr>
        <w:pStyle w:val="Heading2"/>
      </w:pPr>
      <w:r>
        <w:t>25) Kyber‑wrapped DKG &amp; Round Communications</w:t>
      </w:r>
    </w:p>
    <w:p>
      <w:pPr>
        <w:pStyle w:val="Heading2"/>
      </w:pPr>
      <w:r>
        <w:t>26) SPHINCS+ Emergency Roots &amp; State Checkpoints</w:t>
      </w:r>
    </w:p>
    <w:p>
      <w:pPr>
        <w:pStyle w:val="Heading2"/>
      </w:pPr>
      <w:r>
        <w:t>27) Evidence Durability &amp; Long‑Horizon Auditability</w:t>
      </w:r>
    </w:p>
    <w:p>
      <w:pPr>
        <w:pStyle w:val="Heading1"/>
      </w:pPr>
      <w:r>
        <w:t>VII. Interfaces &amp; Data Formats</w:t>
      </w:r>
    </w:p>
    <w:p>
      <w:pPr>
        <w:pStyle w:val="Heading2"/>
      </w:pPr>
      <w:r>
        <w:t>28) On‑chain Contracts (Router, Registry, Receipts)</w:t>
      </w:r>
    </w:p>
    <w:p>
      <w:pPr>
        <w:pStyle w:val="Heading2"/>
      </w:pPr>
      <w:r>
        <w:t>29) Off‑chain Protocol (round messages, transcripts)</w:t>
      </w:r>
    </w:p>
    <w:p>
      <w:pPr>
        <w:pStyle w:val="Heading2"/>
      </w:pPr>
      <w:r>
        <w:t>30) Message &amp; Proof Schemas (CBOR/JSON)</w:t>
      </w:r>
    </w:p>
    <w:p>
      <w:pPr>
        <w:pStyle w:val="Heading2"/>
      </w:pPr>
      <w:r>
        <w:t>31) Wallet &amp; SDK Interfaces (sign/relay/monitor)</w:t>
      </w:r>
    </w:p>
    <w:p>
      <w:pPr>
        <w:pStyle w:val="Heading1"/>
      </w:pPr>
      <w:r>
        <w:t>VIII. Pseudocode &amp; State Machines</w:t>
      </w:r>
    </w:p>
    <w:p>
      <w:pPr>
        <w:pStyle w:val="Heading2"/>
      </w:pPr>
      <w:r>
        <w:t>32) Intent Lifecycle SM</w:t>
      </w:r>
    </w:p>
    <w:p>
      <w:pPr>
        <w:pStyle w:val="Heading2"/>
      </w:pPr>
      <w:r>
        <w:t>33) Committee Rotation SM</w:t>
      </w:r>
    </w:p>
    <w:p>
      <w:pPr>
        <w:pStyle w:val="Heading2"/>
      </w:pPr>
      <w:r>
        <w:t>34) TSS Round SM (per suite)</w:t>
      </w:r>
    </w:p>
    <w:p>
      <w:pPr>
        <w:pStyle w:val="Heading2"/>
      </w:pPr>
      <w:r>
        <w:t>35) Receipt Verification SM</w:t>
      </w:r>
    </w:p>
    <w:p>
      <w:pPr>
        <w:pStyle w:val="Heading2"/>
      </w:pPr>
      <w:r>
        <w:t>36) Slashing &amp; Adjudication SM</w:t>
      </w:r>
    </w:p>
    <w:p>
      <w:pPr>
        <w:pStyle w:val="Heading1"/>
      </w:pPr>
      <w:r>
        <w:t>IX. Testing &amp; Rollout</w:t>
      </w:r>
    </w:p>
    <w:p>
      <w:pPr>
        <w:pStyle w:val="Heading2"/>
      </w:pPr>
      <w:r>
        <w:t>37) Unit, Integration, Chaos, Adversarial</w:t>
      </w:r>
    </w:p>
    <w:p>
      <w:pPr>
        <w:pStyle w:val="Heading2"/>
      </w:pPr>
      <w:r>
        <w:t>38) Per‑chain Test Vectors (ETH, SOL, BTC)</w:t>
      </w:r>
    </w:p>
    <w:p>
      <w:pPr>
        <w:pStyle w:val="Heading2"/>
      </w:pPr>
      <w:r>
        <w:t>39) Performance Targets &amp; Benchmarks</w:t>
      </w:r>
    </w:p>
    <w:p>
      <w:pPr>
        <w:pStyle w:val="Heading2"/>
      </w:pPr>
      <w:r>
        <w:t>40) Rollout Phases &amp; Kill‑Switches</w:t>
      </w:r>
    </w:p>
    <w:p>
      <w:pPr>
        <w:pStyle w:val="Heading1"/>
      </w:pPr>
      <w:r>
        <w:t>X. Governance, Compliance, and Ops</w:t>
      </w:r>
    </w:p>
    <w:p>
      <w:pPr>
        <w:pStyle w:val="Heading2"/>
      </w:pPr>
      <w:r>
        <w:t>41) Parameter Governance &amp; Timelocks</w:t>
      </w:r>
    </w:p>
    <w:p>
      <w:pPr>
        <w:pStyle w:val="Heading2"/>
      </w:pPr>
      <w:r>
        <w:t>42) Operational Playbooks (incident, upgrade)</w:t>
      </w:r>
    </w:p>
    <w:p>
      <w:pPr>
        <w:pStyle w:val="Heading2"/>
      </w:pPr>
      <w:r>
        <w:t>43) Compliance &amp; Audit Trails (transcripts, receipts)</w:t>
      </w:r>
    </w:p>
    <w:p>
      <w:pPr>
        <w:pStyle w:val="Heading1"/>
      </w:pPr>
      <w:r>
        <w:t>Appendices</w:t>
      </w:r>
    </w:p>
    <w:p>
      <w:pPr>
        <w:pStyle w:val="Heading1"/>
      </w:pPr>
      <w:r>
        <w:t>A) Glossary</w:t>
      </w:r>
    </w:p>
    <w:p>
      <w:pPr>
        <w:pStyle w:val="Heading1"/>
      </w:pPr>
      <w:r>
        <w:t>B) Notation</w:t>
      </w:r>
    </w:p>
    <w:p>
      <w:pPr>
        <w:pStyle w:val="Heading1"/>
      </w:pPr>
      <w:r>
        <w:t>C) Threat Matrices</w:t>
      </w:r>
    </w:p>
    <w:p>
      <w:pPr>
        <w:pStyle w:val="Heading1"/>
      </w:pPr>
      <w:r>
        <w:t>D) Full Transcript Examples &amp; API Reference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