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III. Core Architecture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III. Core Architecture</w:t>
      </w:r>
    </w:p>
    <w:p>
      <w:pPr>
        <w:pStyle w:val="Heading2"/>
      </w:pPr>
      <w:r>
        <w:t>Bridge‑less Overview</w:t>
      </w:r>
    </w:p>
    <w:p>
      <w:pPr>
        <w:pStyle w:val="Heading2"/>
      </w:pPr>
      <w:r>
        <w:t>UMA‑Mapped Keys &amp; HTKD</w:t>
      </w:r>
    </w:p>
    <w:p>
      <w:pPr>
        <w:pStyle w:val="Heading2"/>
      </w:pPr>
      <w:r>
        <w:t>Signer Registry &amp; Bonds</w:t>
      </w:r>
    </w:p>
    <w:p>
      <w:pPr>
        <w:pStyle w:val="Heading2"/>
      </w:pPr>
      <w:r>
        <w:t>Epoch Keys &amp; Rotation</w:t>
      </w:r>
    </w:p>
    <w:p>
      <w:pPr>
        <w:pStyle w:val="Heading2"/>
      </w:pPr>
      <w:r>
        <w:t>Intent Router</w:t>
      </w:r>
    </w:p>
    <w:p>
      <w:pPr>
        <w:pStyle w:val="Heading2"/>
      </w:pPr>
      <w:r>
        <w:t>TSS/MPC &amp; Transcripts</w:t>
      </w:r>
    </w:p>
    <w:p>
      <w:pPr>
        <w:pStyle w:val="Heading2"/>
      </w:pPr>
      <w:r>
        <w:t>Relay &amp; Fee‑Escrow</w:t>
      </w:r>
    </w:p>
    <w:p>
      <w:pPr>
        <w:pStyle w:val="Heading2"/>
      </w:pPr>
      <w:r>
        <w:t>Receipt Anchor &amp; Proofs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