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SUIP-S-XSig-Spec — IV. Cross‑Chain Transaction Lifecycle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IV. Cross‑Chain Transaction Lifecycle</w:t>
      </w:r>
    </w:p>
    <w:p>
      <w:pPr>
        <w:pStyle w:val="Heading2"/>
      </w:pPr>
      <w:r>
        <w:t>Intent Authoring</w:t>
      </w:r>
    </w:p>
    <w:p>
      <w:pPr>
        <w:pStyle w:val="Heading2"/>
      </w:pPr>
      <w:r>
        <w:t>Committee Selection</w:t>
      </w:r>
    </w:p>
    <w:p>
      <w:pPr>
        <w:pStyle w:val="Heading2"/>
      </w:pPr>
      <w:r>
        <w:t>TSS Rounds (per suite)</w:t>
      </w:r>
    </w:p>
    <w:p>
      <w:pPr>
        <w:pStyle w:val="Heading2"/>
      </w:pPr>
      <w:r>
        <w:t>Broadcast &amp; Gas</w:t>
      </w:r>
    </w:p>
    <w:p>
      <w:pPr>
        <w:pStyle w:val="Heading2"/>
      </w:pPr>
      <w:r>
        <w:t>Finality Detection</w:t>
      </w:r>
    </w:p>
    <w:p>
      <w:pPr>
        <w:pStyle w:val="Heading2"/>
      </w:pPr>
      <w:r>
        <w:t>Receipt Anchoring</w:t>
      </w:r>
    </w:p>
    <w:p>
      <w:pPr>
        <w:pStyle w:val="Heading2"/>
      </w:pPr>
      <w:r>
        <w:t>Failure Modes &amp; Recovery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