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SUIP-S-XSig-Spec — V. Security &amp; Economics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V. Security &amp; Economics</w:t>
      </w:r>
    </w:p>
    <w:p>
      <w:pPr>
        <w:pStyle w:val="Heading2"/>
      </w:pPr>
      <w:r>
        <w:t>Security Properties</w:t>
      </w:r>
    </w:p>
    <w:p>
      <w:pPr>
        <w:pStyle w:val="Heading2"/>
      </w:pPr>
      <w:r>
        <w:t>Misbehavior &amp; Evidence</w:t>
      </w:r>
    </w:p>
    <w:p>
      <w:pPr>
        <w:pStyle w:val="Heading2"/>
      </w:pPr>
      <w:r>
        <w:t>Slashing Rules</w:t>
      </w:r>
    </w:p>
    <w:p>
      <w:pPr>
        <w:pStyle w:val="Heading2"/>
      </w:pPr>
      <w:r>
        <w:t>Watcher Network</w:t>
      </w:r>
    </w:p>
    <w:p>
      <w:pPr>
        <w:pStyle w:val="Heading2"/>
      </w:pPr>
      <w:r>
        <w:t>Economic Parameters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