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VII. Interfaces &amp; Data Formats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VII. Interfaces &amp; Data Formats</w:t>
      </w:r>
    </w:p>
    <w:p>
      <w:pPr>
        <w:pStyle w:val="Heading2"/>
      </w:pPr>
      <w:r>
        <w:t>On‑chain Contracts</w:t>
      </w:r>
    </w:p>
    <w:p>
      <w:pPr>
        <w:pStyle w:val="Heading2"/>
      </w:pPr>
      <w:r>
        <w:t>Off‑chain Protocol</w:t>
      </w:r>
    </w:p>
    <w:p>
      <w:pPr>
        <w:pStyle w:val="Heading2"/>
      </w:pPr>
      <w:r>
        <w:t>Message &amp; Proof Schemas</w:t>
      </w:r>
    </w:p>
    <w:p>
      <w:pPr>
        <w:pStyle w:val="Heading2"/>
      </w:pPr>
      <w:r>
        <w:t>Wallet &amp; SDK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