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VIII. Pseudocode &amp; State Machines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VIII. Pseudocode &amp; State Machines</w:t>
      </w:r>
    </w:p>
    <w:p>
      <w:pPr>
        <w:pStyle w:val="Heading2"/>
      </w:pPr>
      <w:r>
        <w:t>Intent Lifecycle SM</w:t>
      </w:r>
    </w:p>
    <w:p>
      <w:pPr>
        <w:pStyle w:val="Heading2"/>
      </w:pPr>
      <w:r>
        <w:t>Committee Rotation SM</w:t>
      </w:r>
    </w:p>
    <w:p>
      <w:pPr>
        <w:pStyle w:val="Heading2"/>
      </w:pPr>
      <w:r>
        <w:t>TSS Round SM</w:t>
      </w:r>
    </w:p>
    <w:p>
      <w:pPr>
        <w:pStyle w:val="Heading2"/>
      </w:pPr>
      <w:r>
        <w:t>Receipt Verification SM</w:t>
      </w:r>
    </w:p>
    <w:p>
      <w:pPr>
        <w:pStyle w:val="Heading2"/>
      </w:pPr>
      <w:r>
        <w:t>Slashing &amp; Adjudication 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