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IX. Testing &amp; Rollout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IX. Testing &amp; Rollout</w:t>
      </w:r>
    </w:p>
    <w:p>
      <w:pPr>
        <w:pStyle w:val="Heading2"/>
      </w:pPr>
      <w:r>
        <w:t>Unit/Integration/Chaos</w:t>
      </w:r>
    </w:p>
    <w:p>
      <w:pPr>
        <w:pStyle w:val="Heading2"/>
      </w:pPr>
      <w:r>
        <w:t>Per‑chain Test Vectors</w:t>
      </w:r>
    </w:p>
    <w:p>
      <w:pPr>
        <w:pStyle w:val="Heading2"/>
      </w:pPr>
      <w:r>
        <w:t>Performance Targets</w:t>
      </w:r>
    </w:p>
    <w:p>
      <w:pPr>
        <w:pStyle w:val="Heading2"/>
      </w:pPr>
      <w:r>
        <w:t>Rollout Phases &amp; Kill‑Switches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