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ynq-language-technical-specification"/>
    <w:p>
      <w:pPr>
        <w:pStyle w:val="Heading1"/>
      </w:pPr>
      <w:r>
        <w:t xml:space="preserve">SynQ Language Technical Specification</w:t>
      </w:r>
    </w:p>
    <w:bookmarkStart w:id="23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The SynQ language technical specification is organised into</w:t>
      </w:r>
      <w:r>
        <w:t xml:space="preserve"> </w:t>
      </w:r>
      <w:r>
        <w:t xml:space="preserve">sections and appendices. Each section addresses a</w:t>
      </w:r>
      <w:r>
        <w:t xml:space="preserve"> </w:t>
      </w:r>
      <w:r>
        <w:t xml:space="preserve">different aspect of the language, from high‑level design</w:t>
      </w:r>
      <w:r>
        <w:t xml:space="preserve"> </w:t>
      </w:r>
      <w:r>
        <w:t xml:space="preserve">goals down to the low‑level bytecode and proof sketches.</w:t>
      </w:r>
      <w:r>
        <w:t xml:space="preserve"> </w:t>
      </w:r>
      <w:r>
        <w:t xml:space="preserve">This document provides post‑quantum security, strong</w:t>
      </w:r>
      <w:r>
        <w:t xml:space="preserve"> </w:t>
      </w:r>
      <w:r>
        <w:t xml:space="preserve">typing, and resource‑aware execution semantics. The table</w:t>
      </w:r>
      <w:r>
        <w:t xml:space="preserve"> </w:t>
      </w:r>
      <w:r>
        <w:t xml:space="preserve">of contents below lists all sections along with their</w:t>
      </w:r>
      <w:r>
        <w:t xml:space="preserve"> </w:t>
      </w:r>
      <w:r>
        <w:t xml:space="preserve">primary subsections. Readers should consult the</w:t>
      </w:r>
      <w:r>
        <w:t xml:space="preserve"> </w:t>
      </w:r>
      <w:r>
        <w:t xml:space="preserve">appropriate section for detailed information; cross‑</w:t>
      </w:r>
      <w:r>
        <w:t xml:space="preserve"> </w:t>
      </w:r>
      <w:r>
        <w:t xml:space="preserve">references (e.g., §2.3) point to specific subsections.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Introduction &amp; How to Use This Specification</w:t>
      </w:r>
    </w:p>
    <w:p>
      <w:pPr>
        <w:numPr>
          <w:ilvl w:val="1"/>
          <w:numId w:val="1002"/>
        </w:numPr>
        <w:pStyle w:val="Compact"/>
      </w:pPr>
      <w:r>
        <w:t xml:space="preserve">0.1 Document Scope and Audience</w:t>
      </w:r>
    </w:p>
    <w:p>
      <w:pPr>
        <w:numPr>
          <w:ilvl w:val="1"/>
          <w:numId w:val="1002"/>
        </w:numPr>
        <w:pStyle w:val="Compact"/>
      </w:pPr>
      <w:r>
        <w:t xml:space="preserve">0.2 Notation and Conventions</w:t>
      </w:r>
    </w:p>
    <w:p>
      <w:pPr>
        <w:numPr>
          <w:ilvl w:val="1"/>
          <w:numId w:val="1002"/>
        </w:numPr>
        <w:pStyle w:val="Compact"/>
      </w:pPr>
      <w:r>
        <w:t xml:space="preserve">0.3 Overview of Sections and Dependencies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Language Goals &amp; Non‑Goals</w:t>
      </w:r>
    </w:p>
    <w:p>
      <w:pPr>
        <w:numPr>
          <w:ilvl w:val="1"/>
          <w:numId w:val="1003"/>
        </w:numPr>
        <w:pStyle w:val="Compact"/>
      </w:pPr>
      <w:r>
        <w:t xml:space="preserve">1.1 Purpose &amp; Vision</w:t>
      </w:r>
    </w:p>
    <w:p>
      <w:pPr>
        <w:numPr>
          <w:ilvl w:val="1"/>
          <w:numId w:val="1003"/>
        </w:numPr>
        <w:pStyle w:val="Compact"/>
      </w:pPr>
      <w:r>
        <w:t xml:space="preserve">1.2 Design Goals</w:t>
      </w:r>
    </w:p>
    <w:p>
      <w:pPr>
        <w:numPr>
          <w:ilvl w:val="1"/>
          <w:numId w:val="1003"/>
        </w:numPr>
        <w:pStyle w:val="Compact"/>
      </w:pPr>
      <w:r>
        <w:t xml:space="preserve">1.3 Non‑Goals</w:t>
      </w:r>
    </w:p>
    <w:p>
      <w:pPr>
        <w:numPr>
          <w:ilvl w:val="1"/>
          <w:numId w:val="1003"/>
        </w:numPr>
        <w:pStyle w:val="Compact"/>
      </w:pPr>
      <w:r>
        <w:t xml:space="preserve">1.4 Post‑Quantum Security Approach</w:t>
      </w:r>
    </w:p>
    <w:p>
      <w:pPr>
        <w:numPr>
          <w:ilvl w:val="1"/>
          <w:numId w:val="1003"/>
        </w:numPr>
        <w:pStyle w:val="Compact"/>
      </w:pPr>
      <w:r>
        <w:t xml:space="preserve">1.5 Relationship to the Synergy Ecosystem</w:t>
      </w:r>
    </w:p>
    <w:p>
      <w:pPr>
        <w:numPr>
          <w:ilvl w:val="1"/>
          <w:numId w:val="1003"/>
        </w:numPr>
        <w:pStyle w:val="Compact"/>
      </w:pPr>
      <w:r>
        <w:t xml:space="preserve">1.6 Roadmap &amp; Future Extensions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Formal Semantics &amp; Type System</w:t>
      </w:r>
    </w:p>
    <w:p>
      <w:pPr>
        <w:numPr>
          <w:ilvl w:val="1"/>
          <w:numId w:val="1004"/>
        </w:numPr>
        <w:pStyle w:val="Compact"/>
      </w:pPr>
      <w:r>
        <w:t xml:space="preserve">2.1 Syntax and Grammar</w:t>
      </w:r>
    </w:p>
    <w:p>
      <w:pPr>
        <w:numPr>
          <w:ilvl w:val="1"/>
          <w:numId w:val="1004"/>
        </w:numPr>
        <w:pStyle w:val="Compact"/>
      </w:pPr>
      <w:r>
        <w:t xml:space="preserve">2.2 Primitive Types</w:t>
      </w:r>
    </w:p>
    <w:p>
      <w:pPr>
        <w:numPr>
          <w:ilvl w:val="1"/>
          <w:numId w:val="1004"/>
        </w:numPr>
        <w:pStyle w:val="Compact"/>
      </w:pPr>
      <w:r>
        <w:t xml:space="preserve">2.3 Composite Types (Structs, Arrays, Maps)</w:t>
      </w:r>
    </w:p>
    <w:p>
      <w:pPr>
        <w:numPr>
          <w:ilvl w:val="1"/>
          <w:numId w:val="1004"/>
        </w:numPr>
        <w:pStyle w:val="Compact"/>
      </w:pPr>
      <w:r>
        <w:t xml:space="preserve">2.4 Generics &amp; Parameterised Types</w:t>
      </w:r>
    </w:p>
    <w:p>
      <w:pPr>
        <w:numPr>
          <w:ilvl w:val="1"/>
          <w:numId w:val="1004"/>
        </w:numPr>
        <w:pStyle w:val="Compact"/>
      </w:pPr>
      <w:r>
        <w:t xml:space="preserve">2.5 Functions, Methods &amp; Attributes</w:t>
      </w:r>
    </w:p>
    <w:p>
      <w:pPr>
        <w:numPr>
          <w:ilvl w:val="1"/>
          <w:numId w:val="1004"/>
        </w:numPr>
        <w:pStyle w:val="Compact"/>
      </w:pPr>
      <w:r>
        <w:t xml:space="preserve">2.6 Contracts and Modules</w:t>
      </w:r>
    </w:p>
    <w:p>
      <w:pPr>
        <w:numPr>
          <w:ilvl w:val="1"/>
          <w:numId w:val="1004"/>
        </w:numPr>
        <w:pStyle w:val="Compact"/>
      </w:pPr>
      <w:r>
        <w:t xml:space="preserve">2.7 Type Rules &amp; Inference</w:t>
      </w:r>
    </w:p>
    <w:p>
      <w:pPr>
        <w:numPr>
          <w:ilvl w:val="1"/>
          <w:numId w:val="1004"/>
        </w:numPr>
        <w:pStyle w:val="Compact"/>
      </w:pPr>
      <w:r>
        <w:t xml:space="preserve">2.8 Memory &amp; Storage Semantics</w:t>
      </w:r>
    </w:p>
    <w:p>
      <w:pPr>
        <w:numPr>
          <w:ilvl w:val="1"/>
          <w:numId w:val="1004"/>
        </w:numPr>
        <w:pStyle w:val="Compact"/>
      </w:pPr>
      <w:r>
        <w:t xml:space="preserve">2.9 Error Handling &amp; Exceptions</w:t>
      </w:r>
    </w:p>
    <w:p>
      <w:pPr>
        <w:numPr>
          <w:ilvl w:val="1"/>
          <w:numId w:val="1004"/>
        </w:numPr>
        <w:pStyle w:val="Compact"/>
      </w:pPr>
      <w:r>
        <w:t xml:space="preserve">2.10 Formal Semantics</w:t>
      </w:r>
    </w:p>
    <w:p>
      <w:pPr>
        <w:numPr>
          <w:ilvl w:val="1"/>
          <w:numId w:val="1004"/>
        </w:numPr>
        <w:pStyle w:val="Compact"/>
      </w:pPr>
      <w:r>
        <w:t xml:space="preserve">2.11 Typing &amp; Safety Theorems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Cryptography &amp; Security Primitives</w:t>
      </w:r>
    </w:p>
    <w:p>
      <w:pPr>
        <w:numPr>
          <w:ilvl w:val="1"/>
          <w:numId w:val="1005"/>
        </w:numPr>
        <w:pStyle w:val="Compact"/>
      </w:pPr>
      <w:r>
        <w:t xml:space="preserve">3.1 Post‑Quantum Algorithm Overview (Dilithium, Falcon, Kyber)</w:t>
      </w:r>
    </w:p>
    <w:p>
      <w:pPr>
        <w:numPr>
          <w:ilvl w:val="1"/>
          <w:numId w:val="1005"/>
        </w:numPr>
        <w:pStyle w:val="Compact"/>
      </w:pPr>
      <w:r>
        <w:t xml:space="preserve">3.2 Key Types &amp; Sizes</w:t>
      </w:r>
    </w:p>
    <w:p>
      <w:pPr>
        <w:numPr>
          <w:ilvl w:val="1"/>
          <w:numId w:val="1005"/>
        </w:numPr>
        <w:pStyle w:val="Compact"/>
      </w:pPr>
      <w:r>
        <w:t xml:space="preserve">3.3 Signature Verification Functions</w:t>
      </w:r>
    </w:p>
    <w:p>
      <w:pPr>
        <w:numPr>
          <w:ilvl w:val="1"/>
          <w:numId w:val="1005"/>
        </w:numPr>
        <w:pStyle w:val="Compact"/>
      </w:pPr>
      <w:r>
        <w:t xml:space="preserve">3.4 Key Encapsulation Mechanism (Kyber)</w:t>
      </w:r>
    </w:p>
    <w:p>
      <w:pPr>
        <w:numPr>
          <w:ilvl w:val="1"/>
          <w:numId w:val="1005"/>
        </w:numPr>
        <w:pStyle w:val="Compact"/>
      </w:pPr>
      <w:r>
        <w:t xml:space="preserve">3.5 Hybrid &amp; Composite Signatures</w:t>
      </w:r>
    </w:p>
    <w:p>
      <w:pPr>
        <w:numPr>
          <w:ilvl w:val="1"/>
          <w:numId w:val="1005"/>
        </w:numPr>
        <w:pStyle w:val="Compact"/>
      </w:pPr>
      <w:r>
        <w:t xml:space="preserve">3.6 Gas Model for PQC Operations</w:t>
      </w:r>
    </w:p>
    <w:p>
      <w:pPr>
        <w:numPr>
          <w:ilvl w:val="1"/>
          <w:numId w:val="1005"/>
        </w:numPr>
        <w:pStyle w:val="Compact"/>
      </w:pPr>
      <w:r>
        <w:t xml:space="preserve">3.7 Security Assumptions and Threat Model</w:t>
      </w:r>
    </w:p>
    <w:p>
      <w:pPr>
        <w:numPr>
          <w:ilvl w:val="1"/>
          <w:numId w:val="1005"/>
        </w:numPr>
        <w:pStyle w:val="Compact"/>
      </w:pPr>
      <w:r>
        <w:t xml:space="preserve">3.8 PQC Agility and Upgradability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Concurrency &amp; State</w:t>
      </w:r>
    </w:p>
    <w:p>
      <w:pPr>
        <w:numPr>
          <w:ilvl w:val="1"/>
          <w:numId w:val="1006"/>
        </w:numPr>
        <w:pStyle w:val="Compact"/>
      </w:pPr>
      <w:r>
        <w:t xml:space="preserve">4.1 Contract State Layout</w:t>
      </w:r>
    </w:p>
    <w:p>
      <w:pPr>
        <w:numPr>
          <w:ilvl w:val="1"/>
          <w:numId w:val="1006"/>
        </w:numPr>
        <w:pStyle w:val="Compact"/>
      </w:pPr>
      <w:r>
        <w:t xml:space="preserve">4.2 Transaction Atomicity &amp; Isolation</w:t>
      </w:r>
    </w:p>
    <w:p>
      <w:pPr>
        <w:numPr>
          <w:ilvl w:val="1"/>
          <w:numId w:val="1006"/>
        </w:numPr>
        <w:pStyle w:val="Compact"/>
      </w:pPr>
      <w:r>
        <w:t xml:space="preserve">4.3 Gas‑limited Execution &amp; Budget Blocks</w:t>
      </w:r>
    </w:p>
    <w:p>
      <w:pPr>
        <w:numPr>
          <w:ilvl w:val="1"/>
          <w:numId w:val="1006"/>
        </w:numPr>
        <w:pStyle w:val="Compact"/>
      </w:pPr>
      <w:r>
        <w:t xml:space="preserve">4.4 Asynchronous Calls &amp; External Interactions</w:t>
      </w:r>
    </w:p>
    <w:p>
      <w:pPr>
        <w:numPr>
          <w:ilvl w:val="1"/>
          <w:numId w:val="1006"/>
        </w:numPr>
        <w:pStyle w:val="Compact"/>
      </w:pPr>
      <w:r>
        <w:t xml:space="preserve">4.5 Parallel Execution &amp; Batch Operations</w:t>
      </w:r>
    </w:p>
    <w:p>
      <w:pPr>
        <w:numPr>
          <w:ilvl w:val="1"/>
          <w:numId w:val="1006"/>
        </w:numPr>
        <w:pStyle w:val="Compact"/>
      </w:pPr>
      <w:r>
        <w:t xml:space="preserve">4.6 Concurrency Pitfalls &amp; Best Practices</w:t>
      </w:r>
    </w:p>
    <w:p>
      <w:pPr>
        <w:numPr>
          <w:ilvl w:val="1"/>
          <w:numId w:val="1006"/>
        </w:numPr>
        <w:pStyle w:val="Compact"/>
      </w:pPr>
      <w:r>
        <w:t xml:space="preserve">4.7 Gas Control Annotations</w:t>
      </w:r>
    </w:p>
    <w:p>
      <w:pPr>
        <w:numPr>
          <w:ilvl w:val="1"/>
          <w:numId w:val="1006"/>
        </w:numPr>
        <w:pStyle w:val="Compact"/>
      </w:pPr>
      <w:r>
        <w:t xml:space="preserve">4.8 Suspension &amp; Resumption Semantics</w:t>
      </w:r>
    </w:p>
    <w:p>
      <w:pPr>
        <w:numPr>
          <w:ilvl w:val="1"/>
          <w:numId w:val="1006"/>
        </w:numPr>
        <w:pStyle w:val="Compact"/>
      </w:pPr>
      <w:r>
        <w:t xml:space="preserve">4.9 Concurrency Attack Vectors &amp; Mitigations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Interoperability &amp; System Contracts</w:t>
      </w:r>
    </w:p>
    <w:p>
      <w:pPr>
        <w:numPr>
          <w:ilvl w:val="1"/>
          <w:numId w:val="1007"/>
        </w:numPr>
        <w:pStyle w:val="Compact"/>
      </w:pPr>
      <w:r>
        <w:t xml:space="preserve">5.1 Cross‑Chain Messaging Architecture</w:t>
      </w:r>
    </w:p>
    <w:p>
      <w:pPr>
        <w:numPr>
          <w:ilvl w:val="1"/>
          <w:numId w:val="1007"/>
        </w:numPr>
        <w:pStyle w:val="Compact"/>
      </w:pPr>
      <w:r>
        <w:t xml:space="preserve">5.2 Bridge Contracts &amp; Proof Formats</w:t>
      </w:r>
    </w:p>
    <w:p>
      <w:pPr>
        <w:numPr>
          <w:ilvl w:val="1"/>
          <w:numId w:val="1007"/>
        </w:numPr>
        <w:pStyle w:val="Compact"/>
      </w:pPr>
      <w:r>
        <w:t xml:space="preserve">5.3 External Chain Assumptions</w:t>
      </w:r>
    </w:p>
    <w:p>
      <w:pPr>
        <w:numPr>
          <w:ilvl w:val="1"/>
          <w:numId w:val="1007"/>
        </w:numPr>
        <w:pStyle w:val="Compact"/>
      </w:pPr>
      <w:r>
        <w:t xml:space="preserve">5.4 PQC Requirements for Cross‑Chain Operations</w:t>
      </w:r>
    </w:p>
    <w:p>
      <w:pPr>
        <w:numPr>
          <w:ilvl w:val="1"/>
          <w:numId w:val="1007"/>
        </w:numPr>
        <w:pStyle w:val="Compact"/>
      </w:pPr>
      <w:r>
        <w:t xml:space="preserve">5.5 On‑Chain Oracles &amp; Witnesses</w:t>
      </w:r>
    </w:p>
    <w:p>
      <w:pPr>
        <w:numPr>
          <w:ilvl w:val="1"/>
          <w:numId w:val="1007"/>
        </w:numPr>
        <w:pStyle w:val="Compact"/>
      </w:pPr>
      <w:r>
        <w:t xml:space="preserve">5.6 System‑Provided Contracts</w:t>
      </w:r>
    </w:p>
    <w:p>
      <w:pPr>
        <w:numPr>
          <w:ilvl w:val="1"/>
          <w:numId w:val="1007"/>
        </w:numPr>
        <w:pStyle w:val="Compact"/>
      </w:pPr>
      <w:r>
        <w:t xml:space="preserve">5.7 Message Relay Protocol &amp; Fee Model</w:t>
      </w:r>
    </w:p>
    <w:p>
      <w:pPr>
        <w:numPr>
          <w:ilvl w:val="1"/>
          <w:numId w:val="1007"/>
        </w:numPr>
        <w:pStyle w:val="Compact"/>
      </w:pPr>
      <w:r>
        <w:t xml:space="preserve">5.8 Sample Cross‑Chain Use Cases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Compilation Targets &amp; Runtime</w:t>
      </w:r>
    </w:p>
    <w:p>
      <w:pPr>
        <w:numPr>
          <w:ilvl w:val="1"/>
          <w:numId w:val="1008"/>
        </w:numPr>
        <w:pStyle w:val="Compact"/>
      </w:pPr>
      <w:r>
        <w:t xml:space="preserve">6.1 Compilation Pipeline</w:t>
      </w:r>
    </w:p>
    <w:p>
      <w:pPr>
        <w:numPr>
          <w:ilvl w:val="1"/>
          <w:numId w:val="1008"/>
        </w:numPr>
        <w:pStyle w:val="Compact"/>
      </w:pPr>
      <w:r>
        <w:t xml:space="preserve">6.2 Intermediate Representation (IR)</w:t>
      </w:r>
    </w:p>
    <w:p>
      <w:pPr>
        <w:numPr>
          <w:ilvl w:val="1"/>
          <w:numId w:val="1008"/>
        </w:numPr>
        <w:pStyle w:val="Compact"/>
      </w:pPr>
      <w:r>
        <w:t xml:space="preserve">6.3 Bytecode Format &amp; Instruction Set</w:t>
      </w:r>
    </w:p>
    <w:p>
      <w:pPr>
        <w:numPr>
          <w:ilvl w:val="1"/>
          <w:numId w:val="1008"/>
        </w:numPr>
        <w:pStyle w:val="Compact"/>
      </w:pPr>
      <w:r>
        <w:t xml:space="preserve">6.4 Virtual Machine Architecture</w:t>
      </w:r>
    </w:p>
    <w:p>
      <w:pPr>
        <w:numPr>
          <w:ilvl w:val="1"/>
          <w:numId w:val="1008"/>
        </w:numPr>
        <w:pStyle w:val="Compact"/>
      </w:pPr>
      <w:r>
        <w:t xml:space="preserve">6.5 Precompiled Modules &amp; PQC Hooks</w:t>
      </w:r>
    </w:p>
    <w:p>
      <w:pPr>
        <w:numPr>
          <w:ilvl w:val="1"/>
          <w:numId w:val="1008"/>
        </w:numPr>
        <w:pStyle w:val="Compact"/>
      </w:pPr>
      <w:r>
        <w:t xml:space="preserve">6.6 Gas Metering &amp; Execution Cycle</w:t>
      </w:r>
    </w:p>
    <w:p>
      <w:pPr>
        <w:numPr>
          <w:ilvl w:val="1"/>
          <w:numId w:val="1008"/>
        </w:numPr>
        <w:pStyle w:val="Compact"/>
      </w:pPr>
      <w:r>
        <w:t xml:space="preserve">6.7 Hardware Acceleration Integration</w:t>
      </w:r>
    </w:p>
    <w:p>
      <w:pPr>
        <w:numPr>
          <w:ilvl w:val="1"/>
          <w:numId w:val="1008"/>
        </w:numPr>
        <w:pStyle w:val="Compact"/>
      </w:pPr>
      <w:r>
        <w:t xml:space="preserve">6.8 Upgrades &amp; Governance</w:t>
      </w:r>
    </w:p>
    <w:p>
      <w:pPr>
        <w:numPr>
          <w:ilvl w:val="1"/>
          <w:numId w:val="1008"/>
        </w:numPr>
        <w:pStyle w:val="Compact"/>
      </w:pPr>
      <w:r>
        <w:t xml:space="preserve">6.9 Developer Tooling &amp; CLI Integration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Standard Library</w:t>
      </w:r>
    </w:p>
    <w:p>
      <w:pPr>
        <w:numPr>
          <w:ilvl w:val="1"/>
          <w:numId w:val="1009"/>
        </w:numPr>
        <w:pStyle w:val="Compact"/>
      </w:pPr>
      <w:r>
        <w:t xml:space="preserve">7.1 Overview of Modules</w:t>
      </w:r>
    </w:p>
    <w:p>
      <w:pPr>
        <w:numPr>
          <w:ilvl w:val="1"/>
          <w:numId w:val="1009"/>
        </w:numPr>
        <w:pStyle w:val="Compact"/>
      </w:pPr>
      <w:r>
        <w:t xml:space="preserve">7.2 Crypto Module</w:t>
      </w:r>
    </w:p>
    <w:p>
      <w:pPr>
        <w:numPr>
          <w:ilvl w:val="1"/>
          <w:numId w:val="1009"/>
        </w:numPr>
        <w:pStyle w:val="Compact"/>
      </w:pPr>
      <w:r>
        <w:t xml:space="preserve">7.3 Math Module</w:t>
      </w:r>
    </w:p>
    <w:p>
      <w:pPr>
        <w:numPr>
          <w:ilvl w:val="1"/>
          <w:numId w:val="1009"/>
        </w:numPr>
        <w:pStyle w:val="Compact"/>
      </w:pPr>
      <w:r>
        <w:t xml:space="preserve">7.4 ABI &amp; Encoding Module</w:t>
      </w:r>
    </w:p>
    <w:p>
      <w:pPr>
        <w:numPr>
          <w:ilvl w:val="1"/>
          <w:numId w:val="1009"/>
        </w:numPr>
        <w:pStyle w:val="Compact"/>
      </w:pPr>
      <w:r>
        <w:t xml:space="preserve">7.5 Collections</w:t>
      </w:r>
    </w:p>
    <w:p>
      <w:pPr>
        <w:numPr>
          <w:ilvl w:val="1"/>
          <w:numId w:val="1009"/>
        </w:numPr>
        <w:pStyle w:val="Compact"/>
      </w:pPr>
      <w:r>
        <w:t xml:space="preserve">7.6 Utility Functions</w:t>
      </w:r>
    </w:p>
    <w:p>
      <w:pPr>
        <w:numPr>
          <w:ilvl w:val="1"/>
          <w:numId w:val="1009"/>
        </w:numPr>
        <w:pStyle w:val="Compact"/>
      </w:pPr>
      <w:r>
        <w:t xml:space="preserve">7.7 Contract Interaction Helpers</w:t>
      </w:r>
    </w:p>
    <w:p>
      <w:pPr>
        <w:numPr>
          <w:ilvl w:val="1"/>
          <w:numId w:val="1009"/>
        </w:numPr>
        <w:pStyle w:val="Compact"/>
      </w:pPr>
      <w:r>
        <w:t xml:space="preserve">7.8 Gas &amp; Storage Macros</w:t>
      </w:r>
    </w:p>
    <w:p>
      <w:pPr>
        <w:numPr>
          <w:ilvl w:val="1"/>
          <w:numId w:val="1009"/>
        </w:numPr>
        <w:pStyle w:val="Compact"/>
      </w:pPr>
      <w:r>
        <w:t xml:space="preserve">7.9 Testing &amp; Debugging Tools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Toolchain</w:t>
      </w:r>
    </w:p>
    <w:p>
      <w:pPr>
        <w:numPr>
          <w:ilvl w:val="1"/>
          <w:numId w:val="1010"/>
        </w:numPr>
        <w:pStyle w:val="Compact"/>
      </w:pPr>
      <w:r>
        <w:t xml:space="preserve">8.1 SynQ CLI</w:t>
      </w:r>
    </w:p>
    <w:p>
      <w:pPr>
        <w:numPr>
          <w:ilvl w:val="1"/>
          <w:numId w:val="1010"/>
        </w:numPr>
        <w:pStyle w:val="Compact"/>
      </w:pPr>
      <w:r>
        <w:t xml:space="preserve">8.2 SDKs (TypeScript, Python)</w:t>
      </w:r>
    </w:p>
    <w:p>
      <w:pPr>
        <w:numPr>
          <w:ilvl w:val="1"/>
          <w:numId w:val="1010"/>
        </w:numPr>
        <w:pStyle w:val="Compact"/>
      </w:pPr>
      <w:r>
        <w:t xml:space="preserve">8.3 IDE Extensions</w:t>
      </w:r>
    </w:p>
    <w:p>
      <w:pPr>
        <w:numPr>
          <w:ilvl w:val="1"/>
          <w:numId w:val="1010"/>
        </w:numPr>
        <w:pStyle w:val="Compact"/>
      </w:pPr>
      <w:r>
        <w:t xml:space="preserve">8.4 Unit Testing Framework</w:t>
      </w:r>
    </w:p>
    <w:p>
      <w:pPr>
        <w:numPr>
          <w:ilvl w:val="1"/>
          <w:numId w:val="1010"/>
        </w:numPr>
        <w:pStyle w:val="Compact"/>
      </w:pPr>
      <w:r>
        <w:t xml:space="preserve">8.5 Gas Profiler &amp; Analyzer</w:t>
      </w:r>
    </w:p>
    <w:p>
      <w:pPr>
        <w:numPr>
          <w:ilvl w:val="1"/>
          <w:numId w:val="1010"/>
        </w:numPr>
        <w:pStyle w:val="Compact"/>
      </w:pPr>
      <w:r>
        <w:t xml:space="preserve">8.6 Deployment Tools</w:t>
      </w:r>
    </w:p>
    <w:p>
      <w:pPr>
        <w:numPr>
          <w:ilvl w:val="1"/>
          <w:numId w:val="1010"/>
        </w:numPr>
        <w:pStyle w:val="Compact"/>
      </w:pPr>
      <w:r>
        <w:t xml:space="preserve">8.7 DevOps Integration</w:t>
      </w:r>
    </w:p>
    <w:p>
      <w:pPr>
        <w:numPr>
          <w:ilvl w:val="1"/>
          <w:numId w:val="1010"/>
        </w:numPr>
        <w:pStyle w:val="Compact"/>
      </w:pPr>
      <w:r>
        <w:t xml:space="preserve">8.8 Future Tooling Directions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Testing &amp; Verification</w:t>
      </w:r>
    </w:p>
    <w:p>
      <w:pPr>
        <w:numPr>
          <w:ilvl w:val="1"/>
          <w:numId w:val="1011"/>
        </w:numPr>
        <w:pStyle w:val="Compact"/>
      </w:pPr>
      <w:r>
        <w:t xml:space="preserve">9.1 Unit &amp; Integration Testing</w:t>
      </w:r>
    </w:p>
    <w:p>
      <w:pPr>
        <w:numPr>
          <w:ilvl w:val="1"/>
          <w:numId w:val="1011"/>
        </w:numPr>
        <w:pStyle w:val="Compact"/>
      </w:pPr>
      <w:r>
        <w:t xml:space="preserve">9.2 Simulation &amp; Stress Testing</w:t>
      </w:r>
    </w:p>
    <w:p>
      <w:pPr>
        <w:numPr>
          <w:ilvl w:val="1"/>
          <w:numId w:val="1011"/>
        </w:numPr>
        <w:pStyle w:val="Compact"/>
      </w:pPr>
      <w:r>
        <w:t xml:space="preserve">9.3 Property‑Based &amp; Fuzz Testing</w:t>
      </w:r>
    </w:p>
    <w:p>
      <w:pPr>
        <w:numPr>
          <w:ilvl w:val="1"/>
          <w:numId w:val="1011"/>
        </w:numPr>
        <w:pStyle w:val="Compact"/>
      </w:pPr>
      <w:r>
        <w:t xml:space="preserve">9.4 Formal Verification</w:t>
      </w:r>
    </w:p>
    <w:p>
      <w:pPr>
        <w:numPr>
          <w:ilvl w:val="1"/>
          <w:numId w:val="1011"/>
        </w:numPr>
        <w:pStyle w:val="Compact"/>
      </w:pPr>
      <w:r>
        <w:t xml:space="preserve">9.5 Testnet &amp; Mainnet QA</w:t>
      </w:r>
    </w:p>
    <w:p>
      <w:pPr>
        <w:numPr>
          <w:ilvl w:val="1"/>
          <w:numId w:val="1011"/>
        </w:numPr>
        <w:pStyle w:val="Compact"/>
      </w:pPr>
      <w:r>
        <w:t xml:space="preserve">9.6 Conformance Tests &amp; Compliance</w:t>
      </w:r>
    </w:p>
    <w:p>
      <w:pPr>
        <w:numPr>
          <w:ilvl w:val="1"/>
          <w:numId w:val="1011"/>
        </w:numPr>
        <w:pStyle w:val="Compact"/>
      </w:pPr>
      <w:r>
        <w:t xml:space="preserve">9.7 Benchmarking &amp; Performance Tools</w:t>
      </w:r>
    </w:p>
    <w:p>
      <w:pPr>
        <w:numPr>
          <w:ilvl w:val="1"/>
          <w:numId w:val="1011"/>
        </w:numPr>
        <w:pStyle w:val="Compact"/>
      </w:pPr>
      <w:r>
        <w:t xml:space="preserve">9.8 Security Auditing &amp; Penetration Testing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Examples &amp; Patterns</w:t>
      </w:r>
    </w:p>
    <w:p>
      <w:pPr>
        <w:numPr>
          <w:ilvl w:val="0"/>
          <w:numId w:val="1012"/>
        </w:numPr>
        <w:pStyle w:val="Compact"/>
      </w:pPr>
      <w:r>
        <w:t xml:space="preserve">10.1 Hello, Quantum</w:t>
      </w:r>
    </w:p>
    <w:p>
      <w:pPr>
        <w:numPr>
          <w:ilvl w:val="0"/>
          <w:numId w:val="1012"/>
        </w:numPr>
        <w:pStyle w:val="Compact"/>
      </w:pPr>
      <w:r>
        <w:t xml:space="preserve">10.2 PQC DAO Contract (QuantumDAO)</w:t>
      </w:r>
    </w:p>
    <w:p>
      <w:pPr>
        <w:numPr>
          <w:ilvl w:val="0"/>
          <w:numId w:val="1012"/>
        </w:numPr>
        <w:pStyle w:val="Compact"/>
      </w:pPr>
      <w:r>
        <w:t xml:space="preserve">10.3 Multi‑Signature Wallet</w:t>
      </w:r>
    </w:p>
    <w:p>
      <w:pPr>
        <w:numPr>
          <w:ilvl w:val="0"/>
          <w:numId w:val="1012"/>
        </w:numPr>
        <w:pStyle w:val="Compact"/>
      </w:pPr>
      <w:r>
        <w:t xml:space="preserve">10.4 Batch Verification Service</w:t>
      </w:r>
    </w:p>
    <w:p>
      <w:pPr>
        <w:numPr>
          <w:ilvl w:val="0"/>
          <w:numId w:val="1012"/>
        </w:numPr>
        <w:pStyle w:val="Compact"/>
      </w:pPr>
      <w:r>
        <w:t xml:space="preserve">10.5 Cross‑Chain Bridge</w:t>
      </w:r>
    </w:p>
    <w:p>
      <w:pPr>
        <w:numPr>
          <w:ilvl w:val="0"/>
          <w:numId w:val="1012"/>
        </w:numPr>
        <w:pStyle w:val="Compact"/>
      </w:pPr>
      <w:r>
        <w:t xml:space="preserve">10.6 Voting &amp; Governance Patterns</w:t>
      </w:r>
    </w:p>
    <w:p>
      <w:pPr>
        <w:numPr>
          <w:ilvl w:val="0"/>
          <w:numId w:val="1012"/>
        </w:numPr>
        <w:pStyle w:val="Compact"/>
      </w:pPr>
      <w:r>
        <w:t xml:space="preserve">10.7 Payment Channels &amp; Escrow</w:t>
      </w:r>
    </w:p>
    <w:p>
      <w:pPr>
        <w:numPr>
          <w:ilvl w:val="0"/>
          <w:numId w:val="1012"/>
        </w:numPr>
        <w:pStyle w:val="Compact"/>
      </w:pPr>
      <w:r>
        <w:t xml:space="preserve">10.8 Upgradeable Contracts</w:t>
      </w:r>
    </w:p>
    <w:p>
      <w:pPr>
        <w:numPr>
          <w:ilvl w:val="0"/>
          <w:numId w:val="1012"/>
        </w:numPr>
        <w:pStyle w:val="Compact"/>
      </w:pPr>
      <w:r>
        <w:t xml:space="preserve">10.9 Randomness &amp; Lottery Patterns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Deployment &amp; Lifecycle</w:t>
      </w:r>
    </w:p>
    <w:p>
      <w:pPr>
        <w:numPr>
          <w:ilvl w:val="0"/>
          <w:numId w:val="1014"/>
        </w:numPr>
        <w:pStyle w:val="Compact"/>
      </w:pPr>
      <w:r>
        <w:t xml:space="preserve">11.1 Packaging &amp; Publishing Contracts</w:t>
      </w:r>
    </w:p>
    <w:p>
      <w:pPr>
        <w:numPr>
          <w:ilvl w:val="0"/>
          <w:numId w:val="1014"/>
        </w:numPr>
        <w:pStyle w:val="Compact"/>
      </w:pPr>
      <w:r>
        <w:t xml:space="preserve">11.2 Network Parameters &amp; Gas Pricing</w:t>
      </w:r>
    </w:p>
    <w:p>
      <w:pPr>
        <w:numPr>
          <w:ilvl w:val="0"/>
          <w:numId w:val="1014"/>
        </w:numPr>
        <w:pStyle w:val="Compact"/>
      </w:pPr>
      <w:r>
        <w:t xml:space="preserve">11.3 Key &amp; Account Management</w:t>
      </w:r>
    </w:p>
    <w:p>
      <w:pPr>
        <w:numPr>
          <w:ilvl w:val="0"/>
          <w:numId w:val="1014"/>
        </w:numPr>
        <w:pStyle w:val="Compact"/>
      </w:pPr>
      <w:r>
        <w:t xml:space="preserve">11.4 Genesis &amp; Chain Configuration</w:t>
      </w:r>
    </w:p>
    <w:p>
      <w:pPr>
        <w:numPr>
          <w:ilvl w:val="0"/>
          <w:numId w:val="1014"/>
        </w:numPr>
        <w:pStyle w:val="Compact"/>
      </w:pPr>
      <w:r>
        <w:t xml:space="preserve">11.5 Contract Upgrades &amp; Migrations</w:t>
      </w:r>
    </w:p>
    <w:p>
      <w:pPr>
        <w:numPr>
          <w:ilvl w:val="0"/>
          <w:numId w:val="1014"/>
        </w:numPr>
        <w:pStyle w:val="Compact"/>
      </w:pPr>
      <w:r>
        <w:t xml:space="preserve">11.6 Monitoring &amp; Logging</w:t>
      </w:r>
    </w:p>
    <w:p>
      <w:pPr>
        <w:numPr>
          <w:ilvl w:val="0"/>
          <w:numId w:val="1014"/>
        </w:numPr>
        <w:pStyle w:val="Compact"/>
      </w:pPr>
      <w:r>
        <w:t xml:space="preserve">11.7 Incident Response &amp; Rollback</w:t>
      </w:r>
    </w:p>
    <w:p>
      <w:pPr>
        <w:numPr>
          <w:ilvl w:val="0"/>
          <w:numId w:val="1014"/>
        </w:numPr>
        <w:pStyle w:val="Compact"/>
      </w:pPr>
      <w:r>
        <w:t xml:space="preserve">11.8 End‑of‑Life &amp; Archival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Appendix A – Full Grammar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Appendix B – ABI Specification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Appendix C – Intermediate Representation (IR) Specification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Appendix D – Standard Library API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Appendix E – Formal Proof Sketches</w:t>
      </w:r>
    </w:p>
    <w:p>
      <w:r>
        <w:pict>
          <v:rect style="width:0;height:1.5pt" o:hralign="center" o:hrstd="t" o:hr="t"/>
        </w:pict>
      </w:r>
    </w:p>
    <w:bookmarkStart w:id="20" w:name="document-scope-and-audience"/>
    <w:p>
      <w:pPr>
        <w:pStyle w:val="Heading3"/>
      </w:pPr>
      <w:r>
        <w:t xml:space="preserve">0.1 Document Scope and Audience</w:t>
      </w:r>
    </w:p>
    <w:p>
      <w:pPr>
        <w:pStyle w:val="FirstParagraph"/>
      </w:pPr>
      <w:r>
        <w:t xml:space="preserve">This specification targets language designers, compiler and VM</w:t>
      </w:r>
      <w:r>
        <w:t xml:space="preserve"> </w:t>
      </w:r>
      <w:r>
        <w:t xml:space="preserve">implementers, formal verification researchers, and smart</w:t>
      </w:r>
      <w:r>
        <w:t xml:space="preserve"> </w:t>
      </w:r>
      <w:r>
        <w:t xml:space="preserve">contract developers building on the Synergy Network. It</w:t>
      </w:r>
      <w:r>
        <w:t xml:space="preserve"> </w:t>
      </w:r>
      <w:r>
        <w:t xml:space="preserve">assumes familiarity with blockchain concepts and basic</w:t>
      </w:r>
      <w:r>
        <w:t xml:space="preserve"> </w:t>
      </w:r>
      <w:r>
        <w:t xml:space="preserve">cryptography but introduces the novel aspects of SynQ and its</w:t>
      </w:r>
      <w:r>
        <w:t xml:space="preserve"> </w:t>
      </w:r>
      <w:r>
        <w:t xml:space="preserve">post‑quantum capabilities from first principles.</w:t>
      </w:r>
    </w:p>
    <w:bookmarkEnd w:id="20"/>
    <w:bookmarkStart w:id="21" w:name="notation-and-conventions"/>
    <w:p>
      <w:pPr>
        <w:pStyle w:val="Heading3"/>
      </w:pPr>
      <w:r>
        <w:t xml:space="preserve">0.2 Notation and Conventions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Functions and methods</w:t>
      </w:r>
      <w:r>
        <w:t xml:space="preserve"> </w:t>
      </w:r>
      <w:r>
        <w:t xml:space="preserve">are written in</w:t>
      </w:r>
      <w:r>
        <w:t xml:space="preserve"> </w:t>
      </w:r>
      <w:r>
        <w:rPr>
          <w:rStyle w:val="VerbatimChar"/>
        </w:rPr>
        <w:t xml:space="preserve">monospace</w:t>
      </w:r>
      <w:r>
        <w:t xml:space="preserve"> </w:t>
      </w:r>
      <w:r>
        <w:t xml:space="preserve">with</w:t>
      </w:r>
      <w:r>
        <w:t xml:space="preserve"> </w:t>
      </w:r>
      <w:r>
        <w:t xml:space="preserve">their parameters and return types explicitly annotated.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Code examples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quantumscript</w:t>
      </w:r>
      <w:r>
        <w:t xml:space="preserve"> </w:t>
      </w:r>
      <w:r>
        <w:t xml:space="preserve">fenced code blocks</w:t>
      </w:r>
      <w:r>
        <w:t xml:space="preserve"> </w:t>
      </w:r>
      <w:r>
        <w:t xml:space="preserve">to indicate SynQ source.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Mathematical variables</w:t>
      </w:r>
      <w:r>
        <w:t xml:space="preserve"> </w:t>
      </w:r>
      <w:r>
        <w:t xml:space="preserve">appear in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and are</w:t>
      </w:r>
      <w:r>
        <w:t xml:space="preserve"> </w:t>
      </w:r>
      <w:r>
        <w:t xml:space="preserve">explained in context or in the appendix.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Cross references</w:t>
      </w:r>
      <w:r>
        <w:t xml:space="preserve"> </w:t>
      </w:r>
      <w:r>
        <w:t xml:space="preserve">use the (§X.Y) notation to refer</w:t>
      </w:r>
      <w:r>
        <w:t xml:space="preserve"> </w:t>
      </w:r>
      <w:r>
        <w:t xml:space="preserve">readers to other subsections for more detail.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Tables and figures</w:t>
      </w:r>
      <w:r>
        <w:t xml:space="preserve"> </w:t>
      </w:r>
      <w:r>
        <w:t xml:space="preserve">are numbered per section.</w:t>
      </w:r>
    </w:p>
    <w:bookmarkEnd w:id="21"/>
    <w:bookmarkStart w:id="22" w:name="overview-of-sections-and-dependencies"/>
    <w:p>
      <w:pPr>
        <w:pStyle w:val="Heading3"/>
      </w:pPr>
      <w:r>
        <w:t xml:space="preserve">0.3 Overview of Sections and Dependencies</w:t>
      </w:r>
    </w:p>
    <w:p>
      <w:pPr>
        <w:pStyle w:val="FirstParagraph"/>
      </w:pPr>
      <w:r>
        <w:t xml:space="preserve">Sections are largely independent but do reference each other.</w:t>
      </w:r>
      <w:r>
        <w:t xml:space="preserve"> </w:t>
      </w:r>
      <w:r>
        <w:t xml:space="preserve">The type system (§2) underpins all subsequent sections.</w:t>
      </w:r>
      <w:r>
        <w:t xml:space="preserve"> </w:t>
      </w:r>
      <w:r>
        <w:t xml:space="preserve">Cryptographic primitives (§3) provide functions consumed by</w:t>
      </w:r>
      <w:r>
        <w:t xml:space="preserve"> </w:t>
      </w:r>
      <w:r>
        <w:t xml:space="preserve">the standard library (§7) and examples (§10). Concurrency</w:t>
      </w:r>
      <w:r>
        <w:t xml:space="preserve"> </w:t>
      </w:r>
      <w:r>
        <w:t xml:space="preserve">(§4) and interoperability (§5) rely on the formal semantics</w:t>
      </w:r>
      <w:r>
        <w:t xml:space="preserve"> </w:t>
      </w:r>
      <w:r>
        <w:t xml:space="preserve">defined in §2 and the VM described in §6. The appendices</w:t>
      </w:r>
      <w:r>
        <w:t xml:space="preserve"> </w:t>
      </w:r>
      <w:r>
        <w:t xml:space="preserve">provide normative reference material: the full grammar</w:t>
      </w:r>
      <w:r>
        <w:t xml:space="preserve"> </w:t>
      </w:r>
      <w:r>
        <w:t xml:space="preserve">(Appendix A), ABI and IR formats (Appendices B and C), a</w:t>
      </w:r>
      <w:r>
        <w:t xml:space="preserve"> </w:t>
      </w:r>
      <w:r>
        <w:t xml:space="preserve">complete API listing (Appendix D), and sketches of formal</w:t>
      </w:r>
      <w:r>
        <w:t xml:space="preserve"> </w:t>
      </w:r>
      <w:r>
        <w:t xml:space="preserve">proofs (Appendix E).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2025-10-18T01:19:31Z</dcterms:created>
  <dcterms:modified xsi:type="dcterms:W3CDTF">2025-10-18T01:19:31Z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