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anguage-goals-nongoals"/>
    <w:p>
      <w:pPr>
        <w:pStyle w:val="Heading1"/>
      </w:pPr>
      <w:r>
        <w:t xml:space="preserve">1. Language Goals &amp; Non‑Goals</w:t>
      </w:r>
    </w:p>
    <w:p>
      <w:pPr>
        <w:pStyle w:val="FirstParagraph"/>
      </w:pPr>
      <w:r>
        <w:t xml:space="preserve">SynQ is a domain‑specific smart contract language designed to</w:t>
      </w:r>
      <w:r>
        <w:t xml:space="preserve"> </w:t>
      </w:r>
      <w:r>
        <w:t xml:space="preserve">address the demands of a post‑quantum world. Its core</w:t>
      </w:r>
      <w:r>
        <w:t xml:space="preserve"> </w:t>
      </w:r>
      <w:r>
        <w:t xml:space="preserve">objective is to enable developers to write high‑integrity,</w:t>
      </w:r>
      <w:r>
        <w:t xml:space="preserve"> </w:t>
      </w:r>
      <w:r>
        <w:t xml:space="preserve">upgradeable contracts that can withstand quantum attacks while</w:t>
      </w:r>
      <w:r>
        <w:t xml:space="preserve"> </w:t>
      </w:r>
      <w:r>
        <w:t xml:space="preserve">remaining approachable and expressive. This section lays</w:t>
      </w:r>
      <w:r>
        <w:t xml:space="preserve"> </w:t>
      </w:r>
      <w:r>
        <w:t xml:space="preserve">out the purpose, guiding principles, and boundaries of the</w:t>
      </w:r>
      <w:r>
        <w:t xml:space="preserve"> </w:t>
      </w:r>
      <w:r>
        <w:t xml:space="preserve">language.</w:t>
      </w:r>
    </w:p>
    <w:bookmarkStart w:id="20" w:name="purpose-vision"/>
    <w:p>
      <w:pPr>
        <w:pStyle w:val="Heading2"/>
      </w:pPr>
      <w:r>
        <w:t xml:space="preserve">1.1 Purpose &amp; Vision</w:t>
      </w:r>
    </w:p>
    <w:p>
      <w:pPr>
        <w:pStyle w:val="FirstParagraph"/>
      </w:pPr>
      <w:r>
        <w:t xml:space="preserve">The advent of practical quantum computers threatens</w:t>
      </w:r>
      <w:r>
        <w:t xml:space="preserve"> </w:t>
      </w:r>
      <w:r>
        <w:t xml:space="preserve">traditional cryptographic schemes. SynQ was conceived to</w:t>
      </w:r>
      <w:r>
        <w:t xml:space="preserve"> </w:t>
      </w:r>
      <w:r>
        <w:t xml:space="preserve">proactively counter these threats by adopting post‑quantum</w:t>
      </w:r>
      <w:r>
        <w:t xml:space="preserve"> </w:t>
      </w:r>
      <w:r>
        <w:t xml:space="preserve">cryptography (PQC) as a first‑class citizen. Beyond</w:t>
      </w:r>
      <w:r>
        <w:t xml:space="preserve"> </w:t>
      </w:r>
      <w:r>
        <w:t xml:space="preserve">cryptographic agility, SynQ aims 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Protect long‑term assets</w:t>
      </w:r>
      <w:r>
        <w:t xml:space="preserve"> </w:t>
      </w:r>
      <w:r>
        <w:t xml:space="preserve">by using quantum‑resistant</w:t>
      </w:r>
      <w:r>
        <w:t xml:space="preserve"> </w:t>
      </w:r>
      <w:r>
        <w:t xml:space="preserve">primitives for signatures and key agreement.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Offer strong safety guarantees</w:t>
      </w:r>
      <w:r>
        <w:t xml:space="preserve"> </w:t>
      </w:r>
      <w:r>
        <w:t xml:space="preserve">via a static type</w:t>
      </w:r>
      <w:r>
        <w:t xml:space="preserve"> </w:t>
      </w:r>
      <w:r>
        <w:t xml:space="preserve">system and a well‑defined operational semantics.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 predictable resource usage</w:t>
      </w:r>
      <w:r>
        <w:t xml:space="preserve">, enabling developers</w:t>
      </w:r>
      <w:r>
        <w:t xml:space="preserve"> </w:t>
      </w:r>
      <w:r>
        <w:t xml:space="preserve">to reason about gas consumption and avoid denial‑of‑service</w:t>
      </w:r>
      <w:r>
        <w:t xml:space="preserve"> </w:t>
      </w:r>
      <w:r>
        <w:t xml:space="preserve">vectors.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Encourage formal verification</w:t>
      </w:r>
      <w:r>
        <w:t xml:space="preserve"> </w:t>
      </w:r>
      <w:r>
        <w:t xml:space="preserve">by keeping the core</w:t>
      </w:r>
      <w:r>
        <w:t xml:space="preserve"> </w:t>
      </w:r>
      <w:r>
        <w:t xml:space="preserve">language deterministic and side‑effect‑constrained.</w:t>
      </w:r>
    </w:p>
    <w:p>
      <w:pPr>
        <w:pStyle w:val="FirstParagraph"/>
      </w:pPr>
      <w:r>
        <w:t xml:space="preserve">SynQ is not intended as a general‑purpose programming</w:t>
      </w:r>
      <w:r>
        <w:t xml:space="preserve"> </w:t>
      </w:r>
      <w:r>
        <w:t xml:space="preserve">language; rather it focusses on secure on‑chain execution.</w:t>
      </w:r>
    </w:p>
    <w:bookmarkEnd w:id="20"/>
    <w:bookmarkStart w:id="21" w:name="design-goals"/>
    <w:p>
      <w:pPr>
        <w:pStyle w:val="Heading2"/>
      </w:pPr>
      <w:r>
        <w:t xml:space="preserve">1.2 Design Goals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Post‑Quantum Security:</w:t>
      </w:r>
      <w:r>
        <w:t xml:space="preserve"> </w:t>
      </w:r>
      <w:r>
        <w:t xml:space="preserve">Built‑in support for PQC</w:t>
      </w:r>
      <w:r>
        <w:t xml:space="preserve"> </w:t>
      </w:r>
      <w:r>
        <w:t xml:space="preserve">algorithms (Dilithium, Falcon, Kyber) at both the</w:t>
      </w:r>
      <w:r>
        <w:t xml:space="preserve"> </w:t>
      </w:r>
      <w:r>
        <w:t xml:space="preserve">language and VM levels (§3), with the ability to</w:t>
      </w:r>
      <w:r>
        <w:t xml:space="preserve"> </w:t>
      </w:r>
      <w:r>
        <w:t xml:space="preserve">introduce new primitives via governance.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Determinism:</w:t>
      </w:r>
      <w:r>
        <w:t xml:space="preserve"> </w:t>
      </w:r>
      <w:r>
        <w:t xml:space="preserve">Contracts execute deterministically</w:t>
      </w:r>
      <w:r>
        <w:t xml:space="preserve"> </w:t>
      </w:r>
      <w:r>
        <w:t xml:space="preserve">given the same state and input. There is no ambient</w:t>
      </w:r>
      <w:r>
        <w:t xml:space="preserve"> </w:t>
      </w:r>
      <w:r>
        <w:t xml:space="preserve">randomness; instead, randomness is provided via</w:t>
      </w:r>
      <w:r>
        <w:t xml:space="preserve"> </w:t>
      </w:r>
      <w:r>
        <w:t xml:space="preserve">verifiable random functions (VRFs) and explicit inputs.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Strong Typing:</w:t>
      </w:r>
      <w:r>
        <w:t xml:space="preserve"> </w:t>
      </w:r>
      <w:r>
        <w:t xml:space="preserve">All values have statically known types.</w:t>
      </w:r>
      <w:r>
        <w:t xml:space="preserve"> </w:t>
      </w:r>
      <w:r>
        <w:t xml:space="preserve">There is no implicit casting; conversions must be</w:t>
      </w:r>
      <w:r>
        <w:t xml:space="preserve"> </w:t>
      </w:r>
      <w:r>
        <w:t xml:space="preserve">explicit. Typing rules prevent undefined behaviour and</w:t>
      </w:r>
      <w:r>
        <w:t xml:space="preserve"> </w:t>
      </w:r>
      <w:r>
        <w:t xml:space="preserve">data races (§2.7).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Resource Awareness:</w:t>
      </w:r>
      <w:r>
        <w:t xml:space="preserve"> </w:t>
      </w:r>
      <w:r>
        <w:t xml:space="preserve">Gas and storage costs are</w:t>
      </w:r>
      <w:r>
        <w:t xml:space="preserve"> </w:t>
      </w:r>
      <w:r>
        <w:t xml:space="preserve">explicit. Developers can annotate functions with</w:t>
      </w:r>
      <w:r>
        <w:t xml:space="preserve"> </w:t>
      </w:r>
      <w:r>
        <w:rPr>
          <w:rStyle w:val="VerbatimChar"/>
        </w:rPr>
        <w:t xml:space="preserve">@gas_cost</w:t>
      </w:r>
      <w:r>
        <w:t xml:space="preserve"> </w:t>
      </w:r>
      <w:r>
        <w:t xml:space="preserve">and enforce limits via</w:t>
      </w:r>
      <w:r>
        <w:t xml:space="preserve"> </w:t>
      </w:r>
      <w:r>
        <w:rPr>
          <w:rStyle w:val="VerbatimChar"/>
        </w:rPr>
        <w:t xml:space="preserve">@gas_limit</w:t>
      </w:r>
      <w:r>
        <w:t xml:space="preserve"> </w:t>
      </w:r>
      <w:r>
        <w:t xml:space="preserve">(§4.3), and the compiler provides accurate cost</w:t>
      </w:r>
      <w:r>
        <w:t xml:space="preserve"> </w:t>
      </w:r>
      <w:r>
        <w:t xml:space="preserve">estimates (§8.5).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Upgradability:</w:t>
      </w:r>
      <w:r>
        <w:t xml:space="preserve"> </w:t>
      </w:r>
      <w:r>
        <w:t xml:space="preserve">Contracts support safe upgrade</w:t>
      </w:r>
      <w:r>
        <w:t xml:space="preserve"> </w:t>
      </w:r>
      <w:r>
        <w:t xml:space="preserve">patterns, such as proxy delegation, with upgrade</w:t>
      </w:r>
      <w:r>
        <w:t xml:space="preserve"> </w:t>
      </w:r>
      <w:r>
        <w:t xml:space="preserve">procedures formalised in the language (§10.8) and</w:t>
      </w:r>
      <w:r>
        <w:t xml:space="preserve"> </w:t>
      </w:r>
      <w:r>
        <w:t xml:space="preserve">enforced by the runtime (§11.5).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Interoperability:</w:t>
      </w:r>
      <w:r>
        <w:t xml:space="preserve"> </w:t>
      </w:r>
      <w:r>
        <w:t xml:space="preserve">Seamless cross‑chain messaging and</w:t>
      </w:r>
      <w:r>
        <w:t xml:space="preserve"> </w:t>
      </w:r>
      <w:r>
        <w:t xml:space="preserve">proof verification enable SynQ contracts to interact with</w:t>
      </w:r>
      <w:r>
        <w:t xml:space="preserve"> </w:t>
      </w:r>
      <w:r>
        <w:t xml:space="preserve">other blockchains and off‑chain systems (§5).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Developer Ergonomics:</w:t>
      </w:r>
      <w:r>
        <w:t xml:space="preserve"> </w:t>
      </w:r>
      <w:r>
        <w:t xml:space="preserve">Familiar syntax resembling</w:t>
      </w:r>
      <w:r>
        <w:t xml:space="preserve"> </w:t>
      </w:r>
      <w:r>
        <w:t xml:space="preserve">mainstream languages (Rust/Swift), a rich standard</w:t>
      </w:r>
      <w:r>
        <w:t xml:space="preserve"> </w:t>
      </w:r>
      <w:r>
        <w:t xml:space="preserve">library (§7), and first‑class tooling (§8) make the</w:t>
      </w:r>
      <w:r>
        <w:t xml:space="preserve"> </w:t>
      </w:r>
      <w:r>
        <w:t xml:space="preserve">language accessible.</w:t>
      </w:r>
    </w:p>
    <w:bookmarkEnd w:id="21"/>
    <w:bookmarkStart w:id="22" w:name="nongoals"/>
    <w:p>
      <w:pPr>
        <w:pStyle w:val="Heading2"/>
      </w:pPr>
      <w:r>
        <w:t xml:space="preserve">1.3 Non‑Goals</w:t>
      </w:r>
    </w:p>
    <w:p>
      <w:pPr>
        <w:pStyle w:val="FirstParagraph"/>
      </w:pPr>
      <w:r>
        <w:t xml:space="preserve">While SynQ aspires to be comprehensive, several areas</w:t>
      </w:r>
      <w:r>
        <w:t xml:space="preserve"> </w:t>
      </w:r>
      <w:r>
        <w:t xml:space="preserve">intentionally fall outside its scope: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General‑purpose computation:</w:t>
      </w:r>
      <w:r>
        <w:t xml:space="preserve"> </w:t>
      </w:r>
      <w:r>
        <w:t xml:space="preserve">SynQ is not a</w:t>
      </w:r>
      <w:r>
        <w:t xml:space="preserve"> </w:t>
      </w:r>
      <w:r>
        <w:t xml:space="preserve">replacement for off‑chain computation. Heavy data</w:t>
      </w:r>
      <w:r>
        <w:t xml:space="preserve"> </w:t>
      </w:r>
      <w:r>
        <w:t xml:space="preserve">processing, machine learning, and other CPU‑intensive tasks</w:t>
      </w:r>
      <w:r>
        <w:t xml:space="preserve"> </w:t>
      </w:r>
      <w:r>
        <w:t xml:space="preserve">should be performed off‑chain and referenced via proofs.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Unbounded recursion and dynamic dispatch:</w:t>
      </w:r>
      <w:r>
        <w:t xml:space="preserve"> </w:t>
      </w:r>
      <w:r>
        <w:t xml:space="preserve">To preserve</w:t>
      </w:r>
      <w:r>
        <w:t xml:space="preserve"> </w:t>
      </w:r>
      <w:r>
        <w:t xml:space="preserve">analyzability, recursion depth and function dispatch</w:t>
      </w:r>
      <w:r>
        <w:t xml:space="preserve"> </w:t>
      </w:r>
      <w:r>
        <w:t xml:space="preserve">must be statically resolvable. Dynamically loaded code is</w:t>
      </w:r>
      <w:r>
        <w:t xml:space="preserve"> </w:t>
      </w:r>
      <w:r>
        <w:t xml:space="preserve">forbidden.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Floating‑point arithmetic:</w:t>
      </w:r>
      <w:r>
        <w:t xml:space="preserve"> </w:t>
      </w:r>
      <w:r>
        <w:t xml:space="preserve">Only integer types and</w:t>
      </w:r>
      <w:r>
        <w:t xml:space="preserve"> </w:t>
      </w:r>
      <w:r>
        <w:t xml:space="preserve">fixed‑point maths are supported. Developers needing</w:t>
      </w:r>
      <w:r>
        <w:t xml:space="preserve"> </w:t>
      </w:r>
      <w:r>
        <w:t xml:space="preserve">floating‑point operations should implement them via</w:t>
      </w:r>
      <w:r>
        <w:t xml:space="preserve"> </w:t>
      </w:r>
      <w:r>
        <w:t xml:space="preserve">deterministic libraries or fixed‑point approximations.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Classical cryptography:</w:t>
      </w:r>
      <w:r>
        <w:t xml:space="preserve"> </w:t>
      </w:r>
      <w:r>
        <w:t xml:space="preserve">ECDSA, EdDSA, and other</w:t>
      </w:r>
      <w:r>
        <w:t xml:space="preserve"> </w:t>
      </w:r>
      <w:r>
        <w:t xml:space="preserve">classical signatures exist only for backward</w:t>
      </w:r>
      <w:r>
        <w:t xml:space="preserve"> </w:t>
      </w:r>
      <w:r>
        <w:t xml:space="preserve">compatibility in the SDK and are not available on‑chain.</w:t>
      </w:r>
    </w:p>
    <w:bookmarkEnd w:id="22"/>
    <w:bookmarkStart w:id="23" w:name="postquantum-security-approach"/>
    <w:p>
      <w:pPr>
        <w:pStyle w:val="Heading2"/>
      </w:pPr>
      <w:r>
        <w:t xml:space="preserve">1.4 Post‑Quantum Security Approach</w:t>
      </w:r>
    </w:p>
    <w:p>
      <w:pPr>
        <w:pStyle w:val="FirstParagraph"/>
      </w:pPr>
      <w:r>
        <w:t xml:space="preserve">SynQ integrates PQC at every layer. All on‑chain accounts</w:t>
      </w:r>
      <w:r>
        <w:t xml:space="preserve"> </w:t>
      </w:r>
      <w:r>
        <w:t xml:space="preserve">and contracts are addressed by PQC keys (Appendix B).</w:t>
      </w:r>
      <w:r>
        <w:t xml:space="preserve"> </w:t>
      </w:r>
      <w:r>
        <w:t xml:space="preserve">Supported algorithms include: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Dilithium</w:t>
      </w:r>
      <w:r>
        <w:t xml:space="preserve"> </w:t>
      </w:r>
      <w:r>
        <w:t xml:space="preserve">(levels 2, 3, 5): an LMS lattice‑based</w:t>
      </w:r>
      <w:r>
        <w:t xml:space="preserve"> </w:t>
      </w:r>
      <w:r>
        <w:t xml:space="preserve">digital signature scheme providing strong security and</w:t>
      </w:r>
      <w:r>
        <w:t xml:space="preserve"> </w:t>
      </w:r>
      <w:r>
        <w:t xml:space="preserve">moderate signature sizes.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Falcon</w:t>
      </w:r>
      <w:r>
        <w:t xml:space="preserve"> </w:t>
      </w:r>
      <w:r>
        <w:t xml:space="preserve">(512, 1024): a NTRU lattice‑based signature</w:t>
      </w:r>
      <w:r>
        <w:t xml:space="preserve"> </w:t>
      </w:r>
      <w:r>
        <w:t xml:space="preserve">scheme offering shorter signatures but higher</w:t>
      </w:r>
      <w:r>
        <w:t xml:space="preserve"> </w:t>
      </w:r>
      <w:r>
        <w:t xml:space="preserve">computational cost.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Kyber</w:t>
      </w:r>
      <w:r>
        <w:t xml:space="preserve"> </w:t>
      </w:r>
      <w:r>
        <w:t xml:space="preserve">(512, 768): a key encapsulation mechanism used</w:t>
      </w:r>
      <w:r>
        <w:t xml:space="preserve"> </w:t>
      </w:r>
      <w:r>
        <w:t xml:space="preserve">for sealed ballot voting, encrypted state channels and</w:t>
      </w:r>
      <w:r>
        <w:t xml:space="preserve"> </w:t>
      </w:r>
      <w:r>
        <w:t xml:space="preserve">cross‑chain message encryption.</w:t>
      </w:r>
    </w:p>
    <w:p>
      <w:pPr>
        <w:pStyle w:val="FirstParagraph"/>
      </w:pPr>
      <w:r>
        <w:t xml:space="preserve">PQC types are native in the language (§3.2). All on‑chain</w:t>
      </w:r>
      <w:r>
        <w:t xml:space="preserve"> </w:t>
      </w:r>
      <w:r>
        <w:t xml:space="preserve">signature verification uses precompiled PQC functions. No</w:t>
      </w:r>
      <w:r>
        <w:t xml:space="preserve"> </w:t>
      </w:r>
      <w:r>
        <w:t xml:space="preserve">classical algorithm is permitted for consensus-critical</w:t>
      </w:r>
      <w:r>
        <w:t xml:space="preserve"> </w:t>
      </w:r>
      <w:r>
        <w:t xml:space="preserve">operations.</w:t>
      </w:r>
    </w:p>
    <w:bookmarkEnd w:id="23"/>
    <w:bookmarkStart w:id="24" w:name="relationship-to-the-synergy-ecosystem"/>
    <w:p>
      <w:pPr>
        <w:pStyle w:val="Heading2"/>
      </w:pPr>
      <w:r>
        <w:t xml:space="preserve">1.5 Relationship to the Synergy Ecosystem</w:t>
      </w:r>
    </w:p>
    <w:p>
      <w:pPr>
        <w:pStyle w:val="FirstParagraph"/>
      </w:pPr>
      <w:r>
        <w:t xml:space="preserve">SynQ was conceived as the contract language for the</w:t>
      </w:r>
      <w:r>
        <w:t xml:space="preserve"> </w:t>
      </w:r>
      <w:r>
        <w:rPr>
          <w:bCs/>
          <w:b/>
        </w:rPr>
        <w:t xml:space="preserve">Synergy Network</w:t>
      </w:r>
      <w:r>
        <w:t xml:space="preserve">, a post‑quantum blockchain ecosystem. It</w:t>
      </w:r>
      <w:r>
        <w:t xml:space="preserve"> </w:t>
      </w:r>
      <w:r>
        <w:t xml:space="preserve">complements the Proof of Synergy (PoSy) consensus by</w:t>
      </w:r>
      <w:r>
        <w:t xml:space="preserve"> </w:t>
      </w:r>
      <w:r>
        <w:t xml:space="preserve">providing a programming model tailored for post‑quantum</w:t>
      </w:r>
      <w:r>
        <w:t xml:space="preserve"> </w:t>
      </w:r>
      <w:r>
        <w:t xml:space="preserve">cryptography and cross‑chain operations. While the PoSy</w:t>
      </w:r>
      <w:r>
        <w:t xml:space="preserve"> </w:t>
      </w:r>
      <w:r>
        <w:t xml:space="preserve">specification (§0 of the consensus spec) details the</w:t>
      </w:r>
      <w:r>
        <w:t xml:space="preserve"> </w:t>
      </w:r>
      <w:r>
        <w:t xml:space="preserve">consensus and validator mechanics, SynQ focuses on the</w:t>
      </w:r>
      <w:r>
        <w:t xml:space="preserve"> </w:t>
      </w:r>
      <w:r>
        <w:t xml:space="preserve">application layer. Synergy cross‑chain messaging (§5) uses</w:t>
      </w:r>
      <w:r>
        <w:t xml:space="preserve"> </w:t>
      </w:r>
      <w:r>
        <w:t xml:space="preserve">the same PQC primitives to deliver proofs of external events</w:t>
      </w:r>
      <w:r>
        <w:t xml:space="preserve"> </w:t>
      </w:r>
      <w:r>
        <w:t xml:space="preserve">into SynQ contracts. Governance proposals may update</w:t>
      </w:r>
      <w:r>
        <w:t xml:space="preserve"> </w:t>
      </w:r>
      <w:r>
        <w:t xml:space="preserve">PQC costs (§3.6) and VM parameters (§6.8), ensuring the</w:t>
      </w:r>
      <w:r>
        <w:t xml:space="preserve"> </w:t>
      </w:r>
      <w:r>
        <w:t xml:space="preserve">language evolves alongside the network.</w:t>
      </w:r>
    </w:p>
    <w:bookmarkEnd w:id="24"/>
    <w:bookmarkStart w:id="25" w:name="roadmap-future-extensions"/>
    <w:p>
      <w:pPr>
        <w:pStyle w:val="Heading2"/>
      </w:pPr>
      <w:r>
        <w:t xml:space="preserve">1.6 Roadmap &amp; Future Extensions</w:t>
      </w:r>
    </w:p>
    <w:p>
      <w:pPr>
        <w:pStyle w:val="FirstParagraph"/>
      </w:pPr>
      <w:r>
        <w:t xml:space="preserve">SynQ is actively evolving. Upcoming features include: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Advanced control‑flow constructs:</w:t>
      </w:r>
      <w:r>
        <w:t xml:space="preserve"> </w:t>
      </w:r>
      <w:r>
        <w:t xml:space="preserve">pattern matching,</w:t>
      </w:r>
      <w:r>
        <w:t xml:space="preserve"> </w:t>
      </w:r>
      <w:r>
        <w:t xml:space="preserve">iterators, and async/await semantics for cross‑chain</w:t>
      </w:r>
      <w:r>
        <w:t xml:space="preserve"> </w:t>
      </w:r>
      <w:r>
        <w:t xml:space="preserve">calls.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ZK‑PQC integration:</w:t>
      </w:r>
      <w:r>
        <w:t xml:space="preserve"> </w:t>
      </w:r>
      <w:r>
        <w:t xml:space="preserve">built‑in support for zero‑</w:t>
      </w:r>
      <w:r>
        <w:t xml:space="preserve"> </w:t>
      </w:r>
      <w:r>
        <w:t xml:space="preserve">knowledge proofs over PQC commitments (§6.7) to enable</w:t>
      </w:r>
      <w:r>
        <w:t xml:space="preserve"> </w:t>
      </w:r>
      <w:r>
        <w:t xml:space="preserve">privacy‑preserving smart contracts.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Additional PQC primitives:</w:t>
      </w:r>
      <w:r>
        <w:t xml:space="preserve"> </w:t>
      </w:r>
      <w:r>
        <w:t xml:space="preserve">integrating new NIST</w:t>
      </w:r>
      <w:r>
        <w:t xml:space="preserve"> </w:t>
      </w:r>
      <w:r>
        <w:t xml:space="preserve">standard algorithms (e.g., SPHINCS+) via governance and</w:t>
      </w:r>
      <w:r>
        <w:t xml:space="preserve"> </w:t>
      </w:r>
      <w:r>
        <w:t xml:space="preserve">upgrading the VM to support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Formal verification pipeline:</w:t>
      </w:r>
      <w:r>
        <w:t xml:space="preserve"> </w:t>
      </w:r>
      <w:r>
        <w:t xml:space="preserve">integration with</w:t>
      </w:r>
      <w:r>
        <w:t xml:space="preserve"> </w:t>
      </w:r>
      <w:r>
        <w:t xml:space="preserve">automated proof assistants for verifying functional</w:t>
      </w:r>
      <w:r>
        <w:t xml:space="preserve"> </w:t>
      </w:r>
      <w:r>
        <w:t xml:space="preserve">correctness of SynQ contracts (§9.4).</w:t>
      </w:r>
    </w:p>
    <w:p>
      <w:pPr>
        <w:pStyle w:val="FirstParagraph"/>
      </w:pPr>
      <w:r>
        <w:t xml:space="preserve">These extensions will be incorporated into future</w:t>
      </w:r>
      <w:r>
        <w:t xml:space="preserve"> </w:t>
      </w:r>
      <w:r>
        <w:t xml:space="preserve">versions of the specification through the formal</w:t>
      </w:r>
      <w:r>
        <w:t xml:space="preserve"> </w:t>
      </w:r>
      <w:r>
        <w:t xml:space="preserve">governance process.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2025-10-18T01:19:32Z</dcterms:created>
  <dcterms:modified xsi:type="dcterms:W3CDTF">2025-10-18T01:19:32Z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