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ryptography-security-primitives"/>
    <w:p>
      <w:pPr>
        <w:pStyle w:val="Heading1"/>
      </w:pPr>
      <w:r>
        <w:t xml:space="preserve">3. Cryptography &amp; Security Primitives</w:t>
      </w:r>
    </w:p>
    <w:p>
      <w:pPr>
        <w:pStyle w:val="FirstParagraph"/>
      </w:pPr>
      <w:r>
        <w:t xml:space="preserve">SynQ embeds post‑quantum cryptography (PQC) directly into</w:t>
      </w:r>
      <w:r>
        <w:t xml:space="preserve"> </w:t>
      </w:r>
      <w:r>
        <w:t xml:space="preserve">the language. Contracts can work with PQC keys and</w:t>
      </w:r>
      <w:r>
        <w:t xml:space="preserve"> </w:t>
      </w:r>
      <w:r>
        <w:t xml:space="preserve">signatures without relying on off‑chain libraries. This</w:t>
      </w:r>
      <w:r>
        <w:t xml:space="preserve"> </w:t>
      </w:r>
      <w:r>
        <w:t xml:space="preserve">section details the supported algorithms, their types,</w:t>
      </w:r>
      <w:r>
        <w:t xml:space="preserve"> </w:t>
      </w:r>
      <w:r>
        <w:t xml:space="preserve">verification functions, batch operations, gas model, and</w:t>
      </w:r>
      <w:r>
        <w:t xml:space="preserve"> </w:t>
      </w:r>
      <w:r>
        <w:t xml:space="preserve">underlying security assumptions.</w:t>
      </w:r>
    </w:p>
    <w:bookmarkStart w:id="20" w:name="postquantum-algorithm-overview"/>
    <w:p>
      <w:pPr>
        <w:pStyle w:val="Heading2"/>
      </w:pPr>
      <w:r>
        <w:t xml:space="preserve">3.1 Post‑Quantum Algorithm Overview</w:t>
      </w:r>
    </w:p>
    <w:p>
      <w:pPr>
        <w:pStyle w:val="FirstParagraph"/>
      </w:pPr>
      <w:r>
        <w:t xml:space="preserve">SynQ currently supports three families of PQC algorithms: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Dilithium</w:t>
      </w:r>
      <w:r>
        <w:t xml:space="preserve"> </w:t>
      </w:r>
      <w:r>
        <w:t xml:space="preserve">– a lattice‑based digital signature</w:t>
      </w:r>
      <w:r>
        <w:t xml:space="preserve"> </w:t>
      </w:r>
      <w:r>
        <w:t xml:space="preserve">scheme standardised by NIST. Variants include</w:t>
      </w:r>
      <w:r>
        <w:t xml:space="preserve"> </w:t>
      </w:r>
      <w:r>
        <w:rPr>
          <w:rStyle w:val="VerbatimChar"/>
        </w:rPr>
        <w:t xml:space="preserve">Dilithium2</w:t>
      </w:r>
      <w:r>
        <w:t xml:space="preserve"> </w:t>
      </w:r>
      <w:r>
        <w:t xml:space="preserve">(level 2),</w:t>
      </w:r>
      <w:r>
        <w:t xml:space="preserve"> </w:t>
      </w:r>
      <w:r>
        <w:rPr>
          <w:rStyle w:val="VerbatimChar"/>
        </w:rPr>
        <w:t xml:space="preserve">Dilithium3</w:t>
      </w:r>
      <w:r>
        <w:t xml:space="preserve"> </w:t>
      </w:r>
      <w:r>
        <w:t xml:space="preserve">(level 3), and</w:t>
      </w:r>
      <w:r>
        <w:t xml:space="preserve"> </w:t>
      </w:r>
      <w:r>
        <w:rPr>
          <w:rStyle w:val="VerbatimChar"/>
        </w:rPr>
        <w:t xml:space="preserve">Dilithium5</w:t>
      </w:r>
      <w:r>
        <w:t xml:space="preserve"> </w:t>
      </w:r>
      <w:r>
        <w:t xml:space="preserve">(level 5). Higher levels offer greater</w:t>
      </w:r>
      <w:r>
        <w:t xml:space="preserve"> </w:t>
      </w:r>
      <w:r>
        <w:t xml:space="preserve">security at the cost of larger keys and signatures.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Falcon</w:t>
      </w:r>
      <w:r>
        <w:t xml:space="preserve"> </w:t>
      </w:r>
      <w:r>
        <w:t xml:space="preserve">– an NTRU lattice‑based signature scheme</w:t>
      </w:r>
      <w:r>
        <w:t xml:space="preserve"> </w:t>
      </w:r>
      <w:r>
        <w:t xml:space="preserve">offering compact signatures. Supported parameter sets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Falcon512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Falcon1024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Kyber</w:t>
      </w:r>
      <w:r>
        <w:t xml:space="preserve"> </w:t>
      </w:r>
      <w:r>
        <w:t xml:space="preserve">– a module‑lattice KEM used for encrypted</w:t>
      </w:r>
      <w:r>
        <w:t xml:space="preserve"> </w:t>
      </w:r>
      <w:r>
        <w:t xml:space="preserve">message passing and sealed votes. Parameter sets</w:t>
      </w:r>
      <w:r>
        <w:t xml:space="preserve"> </w:t>
      </w:r>
      <w:r>
        <w:rPr>
          <w:rStyle w:val="VerbatimChar"/>
        </w:rPr>
        <w:t xml:space="preserve">Kyber512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Kyber768</w:t>
      </w:r>
      <w:r>
        <w:t xml:space="preserve"> </w:t>
      </w:r>
      <w:r>
        <w:t xml:space="preserve">determine the security level.</w:t>
      </w:r>
    </w:p>
    <w:p>
      <w:pPr>
        <w:pStyle w:val="FirstParagraph"/>
      </w:pPr>
      <w:r>
        <w:t xml:space="preserve">PQC algorithms rely on hard lattice problems that are</w:t>
      </w:r>
      <w:r>
        <w:t xml:space="preserve"> </w:t>
      </w:r>
      <w:r>
        <w:t xml:space="preserve">believed to resist quantum attacks. SynQ leaves open the</w:t>
      </w:r>
      <w:r>
        <w:t xml:space="preserve"> </w:t>
      </w:r>
      <w:r>
        <w:t xml:space="preserve">possibility of integrating additional schemes (e.g., SPHINCS+)</w:t>
      </w:r>
      <w:r>
        <w:t xml:space="preserve"> </w:t>
      </w:r>
      <w:r>
        <w:t xml:space="preserve">via governance (§3.8).</w:t>
      </w:r>
    </w:p>
    <w:bookmarkEnd w:id="20"/>
    <w:bookmarkStart w:id="21" w:name="key-types-sizes"/>
    <w:p>
      <w:pPr>
        <w:pStyle w:val="Heading2"/>
      </w:pPr>
      <w:r>
        <w:t xml:space="preserve">3.2 Key Types &amp; Sizes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8"/>
        <w:gridCol w:w="1730"/>
        <w:gridCol w:w="1131"/>
        <w:gridCol w:w="998"/>
        <w:gridCol w:w="30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Dilithium2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DilithiumPublicKey&lt;2&gt;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~1.3 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 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security, balanced 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Dilithium3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DilithiumPublicKey&lt;3&gt;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~1.8 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~3.2 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security, used for governance keys.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Dilithium5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DilithiumPublicKey&lt;5&gt;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~2.9 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~4.5 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Maximal security, expensive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Falcon512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FalconPublicKey&lt;512&gt;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~897 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~666 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signature, higher verify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Falcon1024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FalconPublicKey&lt;1024&gt;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~1.7 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~1.3 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security, used for high‑value 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Kyber512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KyberPublicKey&lt;512&gt;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 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 only; ciphertext ~768 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Kyber768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KyberPublicKey&lt;768&gt;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~1.18 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 only; ciphertext ~1.08 KB.</w:t>
            </w:r>
          </w:p>
        </w:tc>
      </w:tr>
    </w:tbl>
    <w:p>
      <w:pPr>
        <w:pStyle w:val="BodyText"/>
      </w:pPr>
      <w:r>
        <w:t xml:space="preserve">Levels</w:t>
      </w:r>
      <w:r>
        <w:t xml:space="preserve"> </w:t>
      </w:r>
      <w:r>
        <w:rPr>
          <w:rStyle w:val="VerbatimChar"/>
        </w:rPr>
        <w:t xml:space="preserve">&lt;L&gt;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&lt;N&gt;</w:t>
      </w:r>
      <w:r>
        <w:t xml:space="preserve"> </w:t>
      </w:r>
      <w:r>
        <w:t xml:space="preserve">are encoded in the type names and</w:t>
      </w:r>
      <w:r>
        <w:t xml:space="preserve"> </w:t>
      </w:r>
      <w:r>
        <w:t xml:space="preserve">compile‑time constants. Developers must choose the level</w:t>
      </w:r>
      <w:r>
        <w:t xml:space="preserve"> </w:t>
      </w:r>
      <w:r>
        <w:t xml:space="preserve">appropriate for their security and performance needs.</w:t>
      </w:r>
    </w:p>
    <w:bookmarkEnd w:id="21"/>
    <w:bookmarkStart w:id="22" w:name="signature-verification-functions"/>
    <w:p>
      <w:pPr>
        <w:pStyle w:val="Heading2"/>
      </w:pPr>
      <w:r>
        <w:t xml:space="preserve">3.3 Signature Verification Functions</w:t>
      </w:r>
    </w:p>
    <w:p>
      <w:pPr>
        <w:pStyle w:val="FirstParagraph"/>
      </w:pPr>
      <w:r>
        <w:t xml:space="preserve">SynQ exposes built‑in functions for verifying signatures.</w:t>
      </w:r>
      <w:r>
        <w:t xml:space="preserve"> </w:t>
      </w:r>
      <w:r>
        <w:t xml:space="preserve">Verification is deterministic and returns a boolean. Gas</w:t>
      </w:r>
      <w:r>
        <w:t xml:space="preserve"> </w:t>
      </w:r>
      <w:r>
        <w:t xml:space="preserve">costs are proportional to the size and complexity of the</w:t>
      </w:r>
      <w:r>
        <w:t xml:space="preserve"> </w:t>
      </w:r>
      <w:r>
        <w:t xml:space="preserve">operation (§3.6).</w:t>
      </w:r>
    </w:p>
    <w:p>
      <w:pPr>
        <w:pStyle w:val="SourceCode"/>
      </w:pPr>
      <w:r>
        <w:rPr>
          <w:rStyle w:val="VerbatimChar"/>
        </w:rPr>
        <w:t xml:space="preserve">// Dilithium verification</w:t>
      </w:r>
      <w:r>
        <w:br/>
      </w:r>
      <w:r>
        <w:rPr>
          <w:rStyle w:val="VerbatimChar"/>
        </w:rPr>
        <w:t xml:space="preserve">function verify_dilithium&lt;L&gt;(msg: Bytes, sig: DilithiumSignature&lt;L&gt;, pk: DilithiumPublicKey&lt;L&gt;) -&gt; Bool;</w:t>
      </w:r>
      <w:r>
        <w:br/>
      </w:r>
      <w:r>
        <w:br/>
      </w:r>
      <w:r>
        <w:rPr>
          <w:rStyle w:val="VerbatimChar"/>
        </w:rPr>
        <w:t xml:space="preserve">// Falcon verification</w:t>
      </w:r>
      <w:r>
        <w:br/>
      </w:r>
      <w:r>
        <w:rPr>
          <w:rStyle w:val="VerbatimChar"/>
        </w:rPr>
        <w:t xml:space="preserve">function verify_falcon&lt;N&gt;(msg: Bytes, sig: FalconSignature&lt;N&gt;, pk: FalconPublicKey&lt;N&gt;) -&gt; Bool;</w:t>
      </w:r>
      <w:r>
        <w:br/>
      </w:r>
      <w:r>
        <w:br/>
      </w:r>
      <w:r>
        <w:rPr>
          <w:rStyle w:val="VerbatimChar"/>
        </w:rPr>
        <w:t xml:space="preserve">// Composite signature verification</w:t>
      </w:r>
      <w:r>
        <w:br/>
      </w:r>
      <w:r>
        <w:rPr>
          <w:rStyle w:val="VerbatimChar"/>
        </w:rPr>
        <w:t xml:space="preserve">function verify_composite_auth&lt;L,N&gt;(msg: Bytes, d_sig: DilithiumSignature&lt;L&gt;, f_sig: FalconSignature&lt;N&gt;, auth: PQAuth) -&gt; Bool;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verify_composite_auth</w:t>
      </w:r>
      <w:r>
        <w:t xml:space="preserve"> </w:t>
      </w:r>
      <w:r>
        <w:t xml:space="preserve">function verifies a pair of</w:t>
      </w:r>
      <w:r>
        <w:t xml:space="preserve"> </w:t>
      </w:r>
      <w:r>
        <w:t xml:space="preserve">signatures against the corresponding keys contained within a</w:t>
      </w:r>
      <w:r>
        <w:t xml:space="preserve"> </w:t>
      </w:r>
      <w:r>
        <w:rPr>
          <w:rStyle w:val="VerbatimChar"/>
        </w:rPr>
        <w:t xml:space="preserve">PQAuth</w:t>
      </w:r>
      <w:r>
        <w:t xml:space="preserve"> </w:t>
      </w:r>
      <w:r>
        <w:t xml:space="preserve">structure. This is useful for multi‑signature</w:t>
      </w:r>
      <w:r>
        <w:t xml:space="preserve"> </w:t>
      </w:r>
      <w:r>
        <w:t xml:space="preserve">authentication where different algorithms must be combined.</w:t>
      </w:r>
    </w:p>
    <w:bookmarkEnd w:id="22"/>
    <w:bookmarkStart w:id="23" w:name="key-encapsulation-mechanism-kyber"/>
    <w:p>
      <w:pPr>
        <w:pStyle w:val="Heading2"/>
      </w:pPr>
      <w:r>
        <w:t xml:space="preserve">3.4 Key Encapsulation Mechanism (Kyber)</w:t>
      </w:r>
    </w:p>
    <w:p>
      <w:pPr>
        <w:pStyle w:val="FirstParagraph"/>
      </w:pPr>
      <w:r>
        <w:t xml:space="preserve">Kyber enables parties to derive a shared secret without</w:t>
      </w:r>
      <w:r>
        <w:t xml:space="preserve"> </w:t>
      </w:r>
      <w:r>
        <w:t xml:space="preserve">exposing their private keys. SynQ exposes both</w:t>
      </w:r>
      <w:r>
        <w:t xml:space="preserve"> </w:t>
      </w:r>
      <w:r>
        <w:t xml:space="preserve">encapsulation and decapsulation operations:</w:t>
      </w:r>
    </w:p>
    <w:p>
      <w:pPr>
        <w:pStyle w:val="SourceCode"/>
      </w:pPr>
      <w:r>
        <w:rPr>
          <w:rStyle w:val="VerbatimChar"/>
        </w:rPr>
        <w:t xml:space="preserve">function kyber_encapsulate&lt;K&gt;(pk: KyberPublicKey&lt;K&gt;) -&gt; (KyberCiphertext&lt;K&gt;, Bytes);</w:t>
      </w:r>
      <w:r>
        <w:br/>
      </w:r>
      <w:r>
        <w:rPr>
          <w:rStyle w:val="VerbatimChar"/>
        </w:rPr>
        <w:t xml:space="preserve">function kyber_decapsulate&lt;K&gt;(ct: KyberCiphertext&lt;K&gt;, sk: KyberKeyPair&lt;K&gt;) -&gt; Bytes;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kyber_encapsulate</w:t>
      </w:r>
      <w:r>
        <w:t xml:space="preserve"> </w:t>
      </w:r>
      <w:r>
        <w:t xml:space="preserve">function returns a ciphertext and</w:t>
      </w:r>
      <w:r>
        <w:t xml:space="preserve"> </w:t>
      </w:r>
      <w:r>
        <w:t xml:space="preserve">a shared secret. The ciphertext is sent to the counterparty,</w:t>
      </w:r>
      <w:r>
        <w:t xml:space="preserve"> </w:t>
      </w:r>
      <w:r>
        <w:t xml:space="preserve">who then calls</w:t>
      </w:r>
      <w:r>
        <w:t xml:space="preserve"> </w:t>
      </w:r>
      <w:r>
        <w:rPr>
          <w:rStyle w:val="VerbatimChar"/>
        </w:rPr>
        <w:t xml:space="preserve">kyber_decapsulate</w:t>
      </w:r>
      <w:r>
        <w:t xml:space="preserve"> </w:t>
      </w:r>
      <w:r>
        <w:t xml:space="preserve">with their secret key to</w:t>
      </w:r>
      <w:r>
        <w:t xml:space="preserve"> </w:t>
      </w:r>
      <w:r>
        <w:t xml:space="preserve">recover the shared secret. Gas costs reflect the work done</w:t>
      </w:r>
      <w:r>
        <w:t xml:space="preserve"> </w:t>
      </w:r>
      <w:r>
        <w:t xml:space="preserve">(§3.6). Kyber is frequently used for sealed votes (§10.3)</w:t>
      </w:r>
      <w:r>
        <w:t xml:space="preserve"> </w:t>
      </w:r>
      <w:r>
        <w:t xml:space="preserve">and privacy‑preserving channels.</w:t>
      </w:r>
    </w:p>
    <w:bookmarkEnd w:id="23"/>
    <w:bookmarkStart w:id="24" w:name="hybrid-composite-signatures"/>
    <w:p>
      <w:pPr>
        <w:pStyle w:val="Heading2"/>
      </w:pPr>
      <w:r>
        <w:t xml:space="preserve">3.5 Hybrid &amp; Composite Signatures</w:t>
      </w:r>
    </w:p>
    <w:p>
      <w:pPr>
        <w:pStyle w:val="FirstParagraph"/>
      </w:pPr>
      <w:r>
        <w:t xml:space="preserve">Some protocols require the combination of multiple PQC</w:t>
      </w:r>
      <w:r>
        <w:t xml:space="preserve"> </w:t>
      </w:r>
      <w:r>
        <w:t xml:space="preserve">schemes. For example, a high‑value transaction might</w:t>
      </w:r>
      <w:r>
        <w:t xml:space="preserve"> </w:t>
      </w:r>
      <w:r>
        <w:t xml:space="preserve">require both a Dilithium and a Falcon signature to guard</w:t>
      </w:r>
      <w:r>
        <w:t xml:space="preserve"> </w:t>
      </w:r>
      <w:r>
        <w:t xml:space="preserve">against future algorithmic breakthroughs. SynQ defines a</w:t>
      </w:r>
      <w:r>
        <w:t xml:space="preserve"> </w:t>
      </w:r>
      <w:r>
        <w:rPr>
          <w:rStyle w:val="VerbatimChar"/>
        </w:rPr>
        <w:t xml:space="preserve">PQAuth</w:t>
      </w:r>
      <w:r>
        <w:t xml:space="preserve"> </w:t>
      </w:r>
      <w:r>
        <w:t xml:space="preserve">struct:</w:t>
      </w:r>
    </w:p>
    <w:p>
      <w:pPr>
        <w:pStyle w:val="SourceCode"/>
      </w:pPr>
      <w:r>
        <w:rPr>
          <w:rStyle w:val="VerbatimChar"/>
        </w:rPr>
        <w:t xml:space="preserve">struct PQAuth {</w:t>
      </w:r>
      <w:r>
        <w:br/>
      </w:r>
      <w:r>
        <w:rPr>
          <w:rStyle w:val="VerbatimChar"/>
        </w:rPr>
        <w:t xml:space="preserve">    dilithium_key: DilithiumPublicKey&lt;3&gt;;</w:t>
      </w:r>
      <w:r>
        <w:br/>
      </w:r>
      <w:r>
        <w:rPr>
          <w:rStyle w:val="VerbatimChar"/>
        </w:rPr>
        <w:t xml:space="preserve">    falcon_key: FalconPublicKey&lt;1024&gt;;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verify_composite_auth</w:t>
      </w:r>
      <w:r>
        <w:t xml:space="preserve"> </w:t>
      </w:r>
      <w:r>
        <w:t xml:space="preserve">function accepts both</w:t>
      </w:r>
      <w:r>
        <w:t xml:space="preserve"> </w:t>
      </w:r>
      <w:r>
        <w:t xml:space="preserve">signatures and the</w:t>
      </w:r>
      <w:r>
        <w:t xml:space="preserve"> </w:t>
      </w:r>
      <w:r>
        <w:rPr>
          <w:rStyle w:val="VerbatimChar"/>
        </w:rPr>
        <w:t xml:space="preserve">PQAuth</w:t>
      </w:r>
      <w:r>
        <w:t xml:space="preserve"> </w:t>
      </w:r>
      <w:r>
        <w:t xml:space="preserve">structure. Composite</w:t>
      </w:r>
      <w:r>
        <w:t xml:space="preserve"> </w:t>
      </w:r>
      <w:r>
        <w:t xml:space="preserve">verification charges the sum of the gas costs for each</w:t>
      </w:r>
      <w:r>
        <w:t xml:space="preserve"> </w:t>
      </w:r>
      <w:r>
        <w:t xml:space="preserve">constituent verification. Composite signatures are used</w:t>
      </w:r>
      <w:r>
        <w:t xml:space="preserve"> </w:t>
      </w:r>
      <w:r>
        <w:t xml:space="preserve">extensively in the QuantumDAO example (§10.2).</w:t>
      </w:r>
    </w:p>
    <w:bookmarkEnd w:id="24"/>
    <w:bookmarkStart w:id="28" w:name="gas-model-for-pqc-operations"/>
    <w:p>
      <w:pPr>
        <w:pStyle w:val="Heading2"/>
      </w:pPr>
      <w:r>
        <w:t xml:space="preserve">3.6 Gas Model for PQC Operations</w:t>
      </w:r>
    </w:p>
    <w:p>
      <w:pPr>
        <w:pStyle w:val="FirstParagraph"/>
      </w:pPr>
      <w:r>
        <w:t xml:space="preserve">Because PQC algorithms are computationally intensive, SynQ</w:t>
      </w:r>
      <w:r>
        <w:t xml:space="preserve"> </w:t>
      </w:r>
      <w:r>
        <w:t xml:space="preserve">introduces a fine‑grained gas model. Each PQC operation</w:t>
      </w:r>
      <w:r>
        <w:t xml:space="preserve"> </w:t>
      </w:r>
      <w:r>
        <w:t xml:space="preserve">consumes gas according to the formula: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t</m:t>
          </m:r>
          <m:r>
            <m:t>T</m:t>
          </m:r>
          <m:r>
            <m:t>o</m:t>
          </m:r>
          <m:r>
            <m:t>t</m:t>
          </m:r>
          <m:r>
            <m:t>a</m:t>
          </m:r>
          <m:r>
            <m:t>l</m:t>
          </m:r>
          <m:r>
            <m:t>G</m:t>
          </m:r>
          <m:r>
            <m:t>a</m:t>
          </m:r>
          <m:r>
            <m:t>s</m:t>
          </m:r>
          <m:r>
            <m:rPr>
              <m:sty m:val="p"/>
            </m:rPr>
            <m:t>=</m:t>
          </m:r>
          <m:r>
            <m:t>e</m:t>
          </m:r>
          <m:r>
            <m:t>x</m:t>
          </m:r>
          <m:r>
            <m:t>t</m:t>
          </m:r>
          <m:r>
            <m:t>B</m:t>
          </m:r>
          <m:r>
            <m:t>a</m:t>
          </m:r>
          <m:r>
            <m:t>s</m:t>
          </m:r>
          <m:r>
            <m:t>e</m:t>
          </m:r>
          <m:r>
            <m:t>C</m:t>
          </m:r>
          <m:r>
            <m:t>o</m:t>
          </m:r>
          <m:r>
            <m:t>s</m:t>
          </m:r>
          <m:r>
            <m:t>t</m:t>
          </m:r>
          <m:r>
            <m:rPr>
              <m:sty m:val="p"/>
            </m:rPr>
            <m:t>+</m:t>
          </m:r>
          <m:r>
            <m:t>e</m:t>
          </m:r>
          <m:r>
            <m:t>x</m:t>
          </m:r>
          <m:r>
            <m:t>t</m:t>
          </m:r>
          <m:r>
            <m:t>D</m:t>
          </m:r>
          <m:r>
            <m:t>a</m:t>
          </m:r>
          <m:r>
            <m:t>t</m:t>
          </m:r>
          <m:r>
            <m:t>a</m:t>
          </m:r>
          <m:r>
            <m:t>C</m:t>
          </m:r>
          <m:r>
            <m:t>o</m:t>
          </m:r>
          <m:r>
            <m:t>s</m:t>
          </m:r>
          <m:r>
            <m:t>t</m:t>
          </m:r>
          <m:r>
            <m:rPr>
              <m:sty m:val="p"/>
            </m:rPr>
            <m:t>+</m:t>
          </m:r>
          <m:r>
            <m:t>e</m:t>
          </m:r>
          <m:r>
            <m:t>x</m:t>
          </m:r>
          <m:r>
            <m:t>t</m:t>
          </m:r>
          <m:r>
            <m:t>C</m:t>
          </m:r>
          <m:r>
            <m:t>o</m:t>
          </m:r>
          <m:r>
            <m:t>m</m:t>
          </m:r>
          <m:r>
            <m:t>p</m:t>
          </m:r>
          <m:r>
            <m:t>u</m:t>
          </m:r>
          <m:r>
            <m:t>t</m:t>
          </m:r>
          <m:r>
            <m:t>e</m:t>
          </m:r>
          <m:r>
            <m:t>C</m:t>
          </m:r>
          <m:r>
            <m:t>o</m:t>
          </m:r>
          <m:r>
            <m:t>s</m:t>
          </m:r>
          <m:r>
            <m:t>t</m:t>
          </m:r>
        </m:oMath>
      </m:oMathPara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BaseCost:</w:t>
      </w:r>
      <w:r>
        <w:t xml:space="preserve"> </w:t>
      </w:r>
      <w:r>
        <w:t xml:space="preserve">fixed overhead for dispatching the</w:t>
      </w:r>
      <w:r>
        <w:t xml:space="preserve"> </w:t>
      </w:r>
      <w:r>
        <w:t xml:space="preserve">precompile. Larger for higher security levels.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DataCost:</w:t>
      </w:r>
      <w:r>
        <w:t xml:space="preserve"> </w:t>
      </w:r>
      <w:r>
        <w:t xml:space="preserve">proportional to the size of the inputs</w:t>
      </w:r>
      <w:r>
        <w:t xml:space="preserve"> </w:t>
      </w:r>
      <w:r>
        <w:t xml:space="preserve">(message, key, signature).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ComputeCost:</w:t>
      </w:r>
      <w:r>
        <w:t xml:space="preserve"> </w:t>
      </w:r>
      <w:r>
        <w:t xml:space="preserve">determined by benchmarking the</w:t>
      </w:r>
      <w:r>
        <w:t xml:space="preserve"> </w:t>
      </w:r>
      <w:r>
        <w:t xml:space="preserve">algorithm on reference hardware.</w:t>
      </w:r>
    </w:p>
    <w:p>
      <w:pPr>
        <w:pStyle w:val="FirstParagraph"/>
      </w:pPr>
      <w:r>
        <w:t xml:space="preserve">The table below summarises typical costs (values are</w:t>
      </w:r>
      <w:r>
        <w:t xml:space="preserve"> </w:t>
      </w:r>
      <w:r>
        <w:t xml:space="preserve">illustrative and subject to governance):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37"/>
        <w:gridCol w:w="759"/>
        <w:gridCol w:w="1084"/>
        <w:gridCol w:w="976"/>
        <w:gridCol w:w="1301"/>
        <w:gridCol w:w="7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verify_dilithium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verify_falcon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kyber_encapsulate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kyber_decapsulate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dilithium_keygen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</w:tr>
    </w:tbl>
    <w:p>
      <w:pPr>
        <w:pStyle w:val="BodyText"/>
      </w:pPr>
      <w:r>
        <w:t xml:space="preserve">Figure 3‑1 plots the relative gas cost of verifying</w:t>
      </w:r>
      <w:r>
        <w:t xml:space="preserve"> </w:t>
      </w:r>
      <w:r>
        <w:t xml:space="preserve">Dilithium, Falcon, and Kyber operations at different</w:t>
      </w:r>
      <w:r>
        <w:t xml:space="preserve"> </w:t>
      </w:r>
      <w:r>
        <w:t xml:space="preserve">parameter levels. The curve illustrates the trade‑off</w:t>
      </w:r>
      <w:r>
        <w:t xml:space="preserve"> </w:t>
      </w:r>
      <w:r>
        <w:t xml:space="preserve">between security and cost.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Gas cost comparison for PQC operations" title="" id="26" name="Picture"/>
            <a:graphic>
              <a:graphicData uri="http://schemas.openxmlformats.org/drawingml/2006/picture">
                <pic:pic>
                  <pic:nvPicPr>
                    <pic:cNvPr descr="pqc_gas_cost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Gas cost comparison for PQC operations</w:t>
      </w:r>
    </w:p>
    <w:p>
      <w:pPr>
        <w:pStyle w:val="BodyText"/>
      </w:pPr>
      <w:r>
        <w:t xml:space="preserve">The gas schedule is encoded in the genesis block and may</w:t>
      </w:r>
      <w:r>
        <w:t xml:space="preserve"> </w:t>
      </w:r>
      <w:r>
        <w:t xml:space="preserve">be updated via governance (§6.8). Transactions that</w:t>
      </w:r>
      <w:r>
        <w:t xml:space="preserve"> </w:t>
      </w:r>
      <w:r>
        <w:t xml:space="preserve">exceed the per‑operation or per‑transaction PQC gas limit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max_pqc_gas_per_tx</w:t>
      </w:r>
      <w:r>
        <w:t xml:space="preserve">) will revert.</w:t>
      </w:r>
    </w:p>
    <w:bookmarkEnd w:id="28"/>
    <w:bookmarkStart w:id="29" w:name="security-assumptions-and-threat-model"/>
    <w:p>
      <w:pPr>
        <w:pStyle w:val="Heading2"/>
      </w:pPr>
      <w:r>
        <w:t xml:space="preserve">3.7 Security Assumptions and Threat Model</w:t>
      </w:r>
    </w:p>
    <w:p>
      <w:pPr>
        <w:pStyle w:val="FirstParagraph"/>
      </w:pPr>
      <w:r>
        <w:t xml:space="preserve">SynQ assumes the hardness of lattice problems such as</w:t>
      </w:r>
      <w:r>
        <w:t xml:space="preserve"> </w:t>
      </w:r>
      <w:r>
        <w:t xml:space="preserve">Learning With Errors (LWE) and NTRU. Adversaries are</w:t>
      </w:r>
      <w:r>
        <w:t xml:space="preserve"> </w:t>
      </w:r>
      <w:r>
        <w:t xml:space="preserve">computationally bounded but may possess quantum computers.</w:t>
      </w:r>
      <w:r>
        <w:t xml:space="preserve"> </w:t>
      </w:r>
      <w:r>
        <w:t xml:space="preserve">The following security assumptions apply: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Existential unforgeability:</w:t>
      </w:r>
      <w:r>
        <w:t xml:space="preserve"> </w:t>
      </w:r>
      <w:r>
        <w:t xml:space="preserve">It is infeasible to forge</w:t>
      </w:r>
      <w:r>
        <w:t xml:space="preserve"> </w:t>
      </w:r>
      <w:r>
        <w:t xml:space="preserve">a valid Dilithium or Falcon signature without knowledge</w:t>
      </w:r>
      <w:r>
        <w:t xml:space="preserve"> </w:t>
      </w:r>
      <w:r>
        <w:t xml:space="preserve">of the private key.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IND‑CCA security:</w:t>
      </w:r>
      <w:r>
        <w:t xml:space="preserve"> </w:t>
      </w:r>
      <w:r>
        <w:t xml:space="preserve">Kyber provides indistinguishability</w:t>
      </w:r>
      <w:r>
        <w:t xml:space="preserve"> </w:t>
      </w:r>
      <w:r>
        <w:t xml:space="preserve">under chosen ciphertext attack; encapsulated secrets</w:t>
      </w:r>
      <w:r>
        <w:t xml:space="preserve"> </w:t>
      </w:r>
      <w:r>
        <w:t xml:space="preserve">cannot be learned without the private key.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Random oracle model:</w:t>
      </w:r>
      <w:r>
        <w:t xml:space="preserve"> </w:t>
      </w:r>
      <w:r>
        <w:t xml:space="preserve">Hash functions (SHA3‑256,</w:t>
      </w:r>
      <w:r>
        <w:t xml:space="preserve"> </w:t>
      </w:r>
      <w:r>
        <w:t xml:space="preserve">BLAKE3) behave as random oracles. Addresses are derived</w:t>
      </w:r>
      <w:r>
        <w:t xml:space="preserve"> </w:t>
      </w:r>
      <w:r>
        <w:t xml:space="preserve">via hashing of public keys.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Batch soundness:</w:t>
      </w:r>
      <w:r>
        <w:t xml:space="preserve"> </w:t>
      </w:r>
      <w:r>
        <w:t xml:space="preserve">Batch verification precompiles</w:t>
      </w:r>
      <w:r>
        <w:t xml:space="preserve"> </w:t>
      </w:r>
      <w:r>
        <w:t xml:space="preserve">compute a vector of booleans indicating success for each</w:t>
      </w:r>
      <w:r>
        <w:t xml:space="preserve"> </w:t>
      </w:r>
      <w:r>
        <w:t xml:space="preserve">element. Adversaries cannot craft a batch where one</w:t>
      </w:r>
      <w:r>
        <w:t xml:space="preserve"> </w:t>
      </w:r>
      <w:r>
        <w:t xml:space="preserve">invalid signature causes another to be incorrectly</w:t>
      </w:r>
      <w:r>
        <w:t xml:space="preserve"> </w:t>
      </w:r>
      <w:r>
        <w:t xml:space="preserve">marked valid.</w:t>
      </w:r>
    </w:p>
    <w:p>
      <w:pPr>
        <w:pStyle w:val="FirstParagraph"/>
      </w:pPr>
      <w:r>
        <w:t xml:space="preserve">SynQ does not assume any specific network synchrony for</w:t>
      </w:r>
      <w:r>
        <w:t xml:space="preserve"> </w:t>
      </w:r>
      <w:r>
        <w:t xml:space="preserve">cryptographic security. Liveness and consensus properties</w:t>
      </w:r>
      <w:r>
        <w:t xml:space="preserve"> </w:t>
      </w:r>
      <w:r>
        <w:t xml:space="preserve">are handled at the protocol layer (see the PoSy spec). The</w:t>
      </w:r>
      <w:r>
        <w:t xml:space="preserve"> </w:t>
      </w:r>
      <w:r>
        <w:t xml:space="preserve">gas model prevents denial‑of‑service by making PQC</w:t>
      </w:r>
      <w:r>
        <w:t xml:space="preserve"> </w:t>
      </w:r>
      <w:r>
        <w:t xml:space="preserve">operations cost‑reflective.</w:t>
      </w:r>
    </w:p>
    <w:bookmarkEnd w:id="29"/>
    <w:bookmarkStart w:id="30" w:name="pqc-agility-and-upgradability"/>
    <w:p>
      <w:pPr>
        <w:pStyle w:val="Heading2"/>
      </w:pPr>
      <w:r>
        <w:t xml:space="preserve">3.8 PQC Agility and Upgradability</w:t>
      </w:r>
    </w:p>
    <w:p>
      <w:pPr>
        <w:pStyle w:val="FirstParagraph"/>
      </w:pPr>
      <w:r>
        <w:t xml:space="preserve">Cryptography evolves. Should vulnerabilities be discovered</w:t>
      </w:r>
      <w:r>
        <w:t xml:space="preserve"> </w:t>
      </w:r>
      <w:r>
        <w:t xml:space="preserve">in Dilithium, Falcon, or Kyber, SynQ allows the community</w:t>
      </w:r>
      <w:r>
        <w:t xml:space="preserve"> </w:t>
      </w:r>
      <w:r>
        <w:t xml:space="preserve">to upgrade to new schemes. Upgrades follow these steps: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Research &amp; Benchmarking:</w:t>
      </w:r>
      <w:r>
        <w:t xml:space="preserve"> </w:t>
      </w:r>
      <w:r>
        <w:t xml:space="preserve">Candidate algorithms</w:t>
      </w:r>
      <w:r>
        <w:t xml:space="preserve"> </w:t>
      </w:r>
      <w:r>
        <w:t xml:space="preserve">(e.g., SPHINCS+) are studied for security and</w:t>
      </w:r>
      <w:r>
        <w:t xml:space="preserve"> </w:t>
      </w:r>
      <w:r>
        <w:t xml:space="preserve">performance.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Governance Proposal:</w:t>
      </w:r>
      <w:r>
        <w:t xml:space="preserve"> </w:t>
      </w:r>
      <w:r>
        <w:t xml:space="preserve">A formal proposal specifies</w:t>
      </w:r>
      <w:r>
        <w:t xml:space="preserve"> </w:t>
      </w:r>
      <w:r>
        <w:t xml:space="preserve">the new types, precompile interfaces, and gas costs.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VM Upgrade:</w:t>
      </w:r>
      <w:r>
        <w:t xml:space="preserve"> </w:t>
      </w:r>
      <w:r>
        <w:t xml:space="preserve">The new precompiles are added, and</w:t>
      </w:r>
      <w:r>
        <w:t xml:space="preserve"> </w:t>
      </w:r>
      <w:r>
        <w:t xml:space="preserve">wallet software updates to support new key pairs.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Grace Period:</w:t>
      </w:r>
      <w:r>
        <w:t xml:space="preserve"> </w:t>
      </w:r>
      <w:r>
        <w:t xml:space="preserve">Old schemes remain supported for a</w:t>
      </w:r>
      <w:r>
        <w:t xml:space="preserve"> </w:t>
      </w:r>
      <w:r>
        <w:t xml:space="preserve">transition period. Contracts may verify both old and</w:t>
      </w:r>
      <w:r>
        <w:t xml:space="preserve"> </w:t>
      </w:r>
      <w:r>
        <w:t xml:space="preserve">new signatures via composite authentication (§3.5).</w:t>
      </w:r>
    </w:p>
    <w:p>
      <w:pPr>
        <w:pStyle w:val="FirstParagraph"/>
      </w:pPr>
      <w:r>
        <w:t xml:space="preserve">This agility ensures that SynQ remains secure in the</w:t>
      </w:r>
      <w:r>
        <w:t xml:space="preserve"> </w:t>
      </w:r>
      <w:r>
        <w:t xml:space="preserve">face of future cryptanalytic advances while maintaining</w:t>
      </w:r>
      <w:r>
        <w:t xml:space="preserve"> </w:t>
      </w:r>
      <w:r>
        <w:t xml:space="preserve">backward compatibility.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2025-10-18T01:19:32Z</dcterms:created>
  <dcterms:modified xsi:type="dcterms:W3CDTF">2025-10-18T01:19:32Z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