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deployment-lifecycle"/>
    <w:p>
      <w:pPr>
        <w:pStyle w:val="Heading1"/>
      </w:pPr>
      <w:r>
        <w:t xml:space="preserve">11. Deployment &amp; Lifecycle</w:t>
      </w:r>
    </w:p>
    <w:p>
      <w:pPr>
        <w:pStyle w:val="FirstParagraph"/>
      </w:pPr>
      <w:r>
        <w:t xml:space="preserve">Deploying and operating SynQ contracts involves more than</w:t>
      </w:r>
      <w:r>
        <w:t xml:space="preserve"> </w:t>
      </w:r>
      <w:r>
        <w:t xml:space="preserve">writing code. This section describes how contracts are</w:t>
      </w:r>
      <w:r>
        <w:t xml:space="preserve"> </w:t>
      </w:r>
      <w:r>
        <w:t xml:space="preserve">packaged, published, upgraded and decommissioned. It</w:t>
      </w:r>
      <w:r>
        <w:t xml:space="preserve"> </w:t>
      </w:r>
      <w:r>
        <w:t xml:space="preserve">emphasises safe practices for key management, chain</w:t>
      </w:r>
      <w:r>
        <w:t xml:space="preserve"> </w:t>
      </w:r>
      <w:r>
        <w:t xml:space="preserve">configuration, monitoring and incident response.</w:t>
      </w:r>
    </w:p>
    <w:bookmarkStart w:id="20" w:name="packaging-publishing-contracts"/>
    <w:p>
      <w:pPr>
        <w:pStyle w:val="Heading2"/>
      </w:pPr>
      <w:r>
        <w:t xml:space="preserve">11.1 Packaging &amp; Publishing Contracts</w:t>
      </w:r>
    </w:p>
    <w:p>
      <w:pPr>
        <w:pStyle w:val="FirstParagraph"/>
      </w:pPr>
      <w:r>
        <w:t xml:space="preserve">Contracts are compiled into bytecode (</w:t>
      </w:r>
      <w:r>
        <w:rPr>
          <w:rStyle w:val="VerbatimChar"/>
        </w:rPr>
        <w:t xml:space="preserve">.sqb</w:t>
      </w:r>
      <w:r>
        <w:t xml:space="preserve">) along with</w:t>
      </w:r>
      <w:r>
        <w:t xml:space="preserve"> </w:t>
      </w:r>
      <w:r>
        <w:t xml:space="preserve">their ABI (</w:t>
      </w:r>
      <w:r>
        <w:rPr>
          <w:rStyle w:val="VerbatimChar"/>
        </w:rPr>
        <w:t xml:space="preserve">.json</w:t>
      </w:r>
      <w:r>
        <w:t xml:space="preserve">). A deployment manifest (</w:t>
      </w:r>
      <w:r>
        <w:rPr>
          <w:rStyle w:val="VerbatimChar"/>
        </w:rPr>
        <w:t xml:space="preserve">.toml</w:t>
      </w:r>
      <w:r>
        <w:t xml:space="preserve">)</w:t>
      </w:r>
      <w:r>
        <w:t xml:space="preserve"> </w:t>
      </w:r>
      <w:r>
        <w:t xml:space="preserve">specifies constructor arguments, initial state and gas</w:t>
      </w:r>
      <w:r>
        <w:t xml:space="preserve"> </w:t>
      </w:r>
      <w:r>
        <w:t xml:space="preserve">budgets. Deployment proceeds as follows: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Compile</w:t>
      </w:r>
      <w:r>
        <w:t xml:space="preserve"> </w:t>
      </w:r>
      <w:r>
        <w:t xml:space="preserve">the source with</w:t>
      </w:r>
      <w:r>
        <w:t xml:space="preserve"> </w:t>
      </w:r>
      <w:r>
        <w:rPr>
          <w:rStyle w:val="VerbatimChar"/>
        </w:rPr>
        <w:t xml:space="preserve">synq compile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Prepare</w:t>
      </w:r>
      <w:r>
        <w:t xml:space="preserve"> </w:t>
      </w:r>
      <w:r>
        <w:t xml:space="preserve">the manifest with deployment parameters.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Sign</w:t>
      </w:r>
      <w:r>
        <w:t xml:space="preserve"> </w:t>
      </w:r>
      <w:r>
        <w:t xml:space="preserve">the deployment transaction with a PQC key.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Broadcast</w:t>
      </w:r>
      <w:r>
        <w:t xml:space="preserve"> </w:t>
      </w:r>
      <w:r>
        <w:t xml:space="preserve">the transaction to the network via RPC.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Verify</w:t>
      </w:r>
      <w:r>
        <w:t xml:space="preserve"> </w:t>
      </w:r>
      <w:r>
        <w:t xml:space="preserve">the deployed bytecode matches the expected</w:t>
      </w:r>
      <w:r>
        <w:t xml:space="preserve"> </w:t>
      </w:r>
      <w:r>
        <w:t xml:space="preserve">hash and record the contract address.</w:t>
      </w:r>
    </w:p>
    <w:p>
      <w:pPr>
        <w:pStyle w:val="FirstParagraph"/>
      </w:pPr>
      <w:r>
        <w:t xml:space="preserve">Publishing contracts in registries (e.g., SynQ Package</w:t>
      </w:r>
      <w:r>
        <w:t xml:space="preserve"> </w:t>
      </w:r>
      <w:r>
        <w:t xml:space="preserve">Manager) allows others to discover and reuse code. Authors</w:t>
      </w:r>
      <w:r>
        <w:t xml:space="preserve"> </w:t>
      </w:r>
      <w:r>
        <w:t xml:space="preserve">should include version numbers and link to source code.</w:t>
      </w:r>
    </w:p>
    <w:bookmarkEnd w:id="20"/>
    <w:bookmarkStart w:id="21" w:name="network-parameters-gas-pricing"/>
    <w:p>
      <w:pPr>
        <w:pStyle w:val="Heading2"/>
      </w:pPr>
      <w:r>
        <w:t xml:space="preserve">11.2 Network Parameters &amp; Gas Pricing</w:t>
      </w:r>
    </w:p>
    <w:p>
      <w:pPr>
        <w:pStyle w:val="FirstParagraph"/>
      </w:pPr>
      <w:r>
        <w:t xml:space="preserve">Chains may differ in block time, gas price, and PQC cost</w:t>
      </w:r>
      <w:r>
        <w:t xml:space="preserve"> </w:t>
      </w:r>
      <w:r>
        <w:t xml:space="preserve">schedule. Developers must configure their tools per</w:t>
      </w:r>
      <w:r>
        <w:t xml:space="preserve"> </w:t>
      </w:r>
      <w:r>
        <w:t xml:space="preserve">network. The</w:t>
      </w:r>
      <w:r>
        <w:t xml:space="preserve"> </w:t>
      </w:r>
      <w:r>
        <w:rPr>
          <w:rStyle w:val="VerbatimChar"/>
        </w:rPr>
        <w:t xml:space="preserve">synq</w:t>
      </w:r>
      <w:r>
        <w:t xml:space="preserve"> </w:t>
      </w:r>
      <w:r>
        <w:t xml:space="preserve">CLI reads network parameters from</w:t>
      </w:r>
      <w:r>
        <w:t xml:space="preserve"> </w:t>
      </w:r>
      <w:r>
        <w:rPr>
          <w:rStyle w:val="VerbatimChar"/>
        </w:rPr>
        <w:t xml:space="preserve">synq.toml</w:t>
      </w:r>
      <w:r>
        <w:t xml:space="preserve"> </w:t>
      </w:r>
      <w:r>
        <w:t xml:space="preserve">and displays recommended gas limits. Gas</w:t>
      </w:r>
      <w:r>
        <w:t xml:space="preserve"> </w:t>
      </w:r>
      <w:r>
        <w:t xml:space="preserve">prices fluctuate; for time‑sensitive operations, consider</w:t>
      </w:r>
      <w:r>
        <w:t xml:space="preserve"> </w:t>
      </w:r>
      <w:r>
        <w:t xml:space="preserve">overpaying gas to ensure timely inclusion.</w:t>
      </w:r>
    </w:p>
    <w:bookmarkEnd w:id="21"/>
    <w:bookmarkStart w:id="22" w:name="key-account-management"/>
    <w:p>
      <w:pPr>
        <w:pStyle w:val="Heading2"/>
      </w:pPr>
      <w:r>
        <w:t xml:space="preserve">11.3 Key &amp; Account Management</w:t>
      </w:r>
    </w:p>
    <w:p>
      <w:pPr>
        <w:pStyle w:val="FirstParagraph"/>
      </w:pPr>
      <w:r>
        <w:t xml:space="preserve">Private keys should be stored in secure hardware modules</w:t>
      </w:r>
      <w:r>
        <w:t xml:space="preserve"> </w:t>
      </w:r>
      <w:r>
        <w:t xml:space="preserve">(HSMs, smart cards). Backup keys must be encrypted and</w:t>
      </w:r>
      <w:r>
        <w:t xml:space="preserve"> </w:t>
      </w:r>
      <w:r>
        <w:t xml:space="preserve">stored offline. Accounts may use multi‑signature schemes</w:t>
      </w:r>
      <w:r>
        <w:t xml:space="preserve"> </w:t>
      </w:r>
      <w:r>
        <w:t xml:space="preserve">for high‑value contracts. Key rotation is recommended</w:t>
      </w:r>
      <w:r>
        <w:t xml:space="preserve"> </w:t>
      </w:r>
      <w:r>
        <w:t xml:space="preserve">every six months and must be scheduled in advance (§3.8).</w:t>
      </w:r>
    </w:p>
    <w:bookmarkEnd w:id="22"/>
    <w:bookmarkStart w:id="23" w:name="genesis-chain-configuration"/>
    <w:p>
      <w:pPr>
        <w:pStyle w:val="Heading2"/>
      </w:pPr>
      <w:r>
        <w:t xml:space="preserve">11.4 Genesis &amp; Chain Configuration</w:t>
      </w:r>
    </w:p>
    <w:p>
      <w:pPr>
        <w:pStyle w:val="FirstParagraph"/>
      </w:pPr>
      <w:r>
        <w:t xml:space="preserve">The genesis block defines fundamental parameters: gas</w:t>
      </w:r>
      <w:r>
        <w:t xml:space="preserve"> </w:t>
      </w:r>
      <w:r>
        <w:t xml:space="preserve">schedule (§3.6), PQC key sizes, storage costs, relayer</w:t>
      </w:r>
      <w:r>
        <w:t xml:space="preserve"> </w:t>
      </w:r>
      <w:r>
        <w:t xml:space="preserve">quorums (§5.3), and VM version. Upgrading these</w:t>
      </w:r>
      <w:r>
        <w:t xml:space="preserve"> </w:t>
      </w:r>
      <w:r>
        <w:t xml:space="preserve">parameters requires on‑chain governance. Operators should</w:t>
      </w:r>
      <w:r>
        <w:t xml:space="preserve"> </w:t>
      </w:r>
      <w:r>
        <w:t xml:space="preserve">verify the genesis file against the published specification</w:t>
      </w:r>
      <w:r>
        <w:t xml:space="preserve"> </w:t>
      </w:r>
      <w:r>
        <w:t xml:space="preserve">prior to launching nodes.</w:t>
      </w:r>
    </w:p>
    <w:bookmarkEnd w:id="23"/>
    <w:bookmarkStart w:id="24" w:name="contract-upgrades-migrations"/>
    <w:p>
      <w:pPr>
        <w:pStyle w:val="Heading2"/>
      </w:pPr>
      <w:r>
        <w:t xml:space="preserve">11.5 Contract Upgrades &amp; Migrations</w:t>
      </w:r>
    </w:p>
    <w:p>
      <w:pPr>
        <w:pStyle w:val="FirstParagraph"/>
      </w:pPr>
      <w:r>
        <w:t xml:space="preserve">Upgradeability is optional. Contracts should state in</w:t>
      </w:r>
      <w:r>
        <w:t xml:space="preserve"> </w:t>
      </w:r>
      <w:r>
        <w:t xml:space="preserve">their documentation whether they can be upgraded. The</w:t>
      </w:r>
      <w:r>
        <w:t xml:space="preserve"> </w:t>
      </w:r>
      <w:r>
        <w:t xml:space="preserve">recommended pattern uses a proxy contract holding state</w:t>
      </w:r>
      <w:r>
        <w:t xml:space="preserve"> </w:t>
      </w:r>
      <w:r>
        <w:t xml:space="preserve">and delegating calls to an implementation. Upgrades</w:t>
      </w:r>
      <w:r>
        <w:t xml:space="preserve"> </w:t>
      </w:r>
      <w:r>
        <w:t xml:space="preserve">require signatures from a governance key and an audit of</w:t>
      </w:r>
      <w:r>
        <w:t xml:space="preserve"> </w:t>
      </w:r>
      <w:r>
        <w:t xml:space="preserve">the new implementation. Migrations across network forks</w:t>
      </w:r>
      <w:r>
        <w:t xml:space="preserve"> </w:t>
      </w:r>
      <w:r>
        <w:t xml:space="preserve">must handle state export/import carefully to avoid</w:t>
      </w:r>
      <w:r>
        <w:t xml:space="preserve"> </w:t>
      </w:r>
      <w:r>
        <w:t xml:space="preserve">inconsistencies.</w:t>
      </w:r>
    </w:p>
    <w:bookmarkEnd w:id="24"/>
    <w:bookmarkStart w:id="25" w:name="monitoring-logging"/>
    <w:p>
      <w:pPr>
        <w:pStyle w:val="Heading2"/>
      </w:pPr>
      <w:r>
        <w:t xml:space="preserve">11.6 Monitoring &amp; Logging</w:t>
      </w:r>
    </w:p>
    <w:p>
      <w:pPr>
        <w:pStyle w:val="FirstParagraph"/>
      </w:pPr>
      <w:r>
        <w:t xml:space="preserve">Operators must monitor contracts for events, errors and</w:t>
      </w:r>
      <w:r>
        <w:t xml:space="preserve"> </w:t>
      </w:r>
      <w:r>
        <w:t xml:space="preserve">unusual patterns. Logs should include:</w:t>
      </w:r>
    </w:p>
    <w:p>
      <w:pPr>
        <w:numPr>
          <w:ilvl w:val="0"/>
          <w:numId w:val="1002"/>
        </w:numPr>
        <w:pStyle w:val="Compact"/>
      </w:pPr>
      <w:r>
        <w:t xml:space="preserve">PQC verification successes/failures.</w:t>
      </w:r>
    </w:p>
    <w:p>
      <w:pPr>
        <w:numPr>
          <w:ilvl w:val="0"/>
          <w:numId w:val="1002"/>
        </w:numPr>
        <w:pStyle w:val="Compact"/>
      </w:pPr>
      <w:r>
        <w:t xml:space="preserve">Gas consumption per call.</w:t>
      </w:r>
    </w:p>
    <w:p>
      <w:pPr>
        <w:numPr>
          <w:ilvl w:val="0"/>
          <w:numId w:val="1002"/>
        </w:numPr>
        <w:pStyle w:val="Compact"/>
      </w:pPr>
      <w:r>
        <w:t xml:space="preserve">External messages received and processed (§5.1).</w:t>
      </w:r>
    </w:p>
    <w:p>
      <w:pPr>
        <w:pStyle w:val="FirstParagraph"/>
      </w:pPr>
      <w:r>
        <w:t xml:space="preserve">Alerts can trigger when thresholds (e.g., error rate,</w:t>
      </w:r>
      <w:r>
        <w:t xml:space="preserve"> </w:t>
      </w:r>
      <w:r>
        <w:t xml:space="preserve">gas usage) are exceeded. Off‑chain analytics can help</w:t>
      </w:r>
      <w:r>
        <w:t xml:space="preserve"> </w:t>
      </w:r>
      <w:r>
        <w:t xml:space="preserve">detect anomalous behaviour.</w:t>
      </w:r>
    </w:p>
    <w:bookmarkEnd w:id="25"/>
    <w:bookmarkStart w:id="26" w:name="incident-response-rollback"/>
    <w:p>
      <w:pPr>
        <w:pStyle w:val="Heading2"/>
      </w:pPr>
      <w:r>
        <w:t xml:space="preserve">11.7 Incident Response &amp; Rollback</w:t>
      </w:r>
    </w:p>
    <w:p>
      <w:pPr>
        <w:pStyle w:val="FirstParagraph"/>
      </w:pPr>
      <w:r>
        <w:t xml:space="preserve">Despite best efforts, contracts may exhibit bugs or</w:t>
      </w:r>
      <w:r>
        <w:t xml:space="preserve"> </w:t>
      </w:r>
      <w:r>
        <w:t xml:space="preserve">unexpected behaviour. Incident response plans should</w:t>
      </w:r>
      <w:r>
        <w:t xml:space="preserve"> </w:t>
      </w:r>
      <w:r>
        <w:t xml:space="preserve">include: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Pausing contracts:</w:t>
      </w:r>
      <w:r>
        <w:t xml:space="preserve"> </w:t>
      </w:r>
      <w:r>
        <w:t xml:space="preserve">use built‑in pausability flags</w:t>
      </w:r>
      <w:r>
        <w:t xml:space="preserve"> </w:t>
      </w:r>
      <w:r>
        <w:t xml:space="preserve">to stop critical functions.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Emergency multisig:</w:t>
      </w:r>
      <w:r>
        <w:t xml:space="preserve"> </w:t>
      </w:r>
      <w:r>
        <w:t xml:space="preserve">enable trusted parties to</w:t>
      </w:r>
      <w:r>
        <w:t xml:space="preserve"> </w:t>
      </w:r>
      <w:r>
        <w:t xml:space="preserve">execute emergency fixes or disable features.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Rollback procedures:</w:t>
      </w:r>
      <w:r>
        <w:t xml:space="preserve"> </w:t>
      </w:r>
      <w:r>
        <w:t xml:space="preserve">determine whether state can be</w:t>
      </w:r>
      <w:r>
        <w:t xml:space="preserve"> </w:t>
      </w:r>
      <w:r>
        <w:t xml:space="preserve">reverted safely. In many cases, manual intervention and</w:t>
      </w:r>
      <w:r>
        <w:t xml:space="preserve"> </w:t>
      </w:r>
      <w:r>
        <w:t xml:space="preserve">chain forks may be required.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Communication:</w:t>
      </w:r>
      <w:r>
        <w:t xml:space="preserve"> </w:t>
      </w:r>
      <w:r>
        <w:t xml:space="preserve">promptly inform users of the issue</w:t>
      </w:r>
      <w:r>
        <w:t xml:space="preserve"> </w:t>
      </w:r>
      <w:r>
        <w:t xml:space="preserve">and remediation steps.</w:t>
      </w:r>
    </w:p>
    <w:bookmarkEnd w:id="26"/>
    <w:bookmarkStart w:id="27" w:name="endoflife-archival"/>
    <w:p>
      <w:pPr>
        <w:pStyle w:val="Heading2"/>
      </w:pPr>
      <w:r>
        <w:t xml:space="preserve">11.8 End‑of‑Life &amp; Archival</w:t>
      </w:r>
    </w:p>
    <w:p>
      <w:pPr>
        <w:pStyle w:val="FirstParagraph"/>
      </w:pPr>
      <w:r>
        <w:t xml:space="preserve">When a contract is no longer needed, it may be</w:t>
      </w:r>
      <w:r>
        <w:t xml:space="preserve"> </w:t>
      </w:r>
      <w:r>
        <w:t xml:space="preserve">self‑destructed via</w:t>
      </w:r>
      <w:r>
        <w:t xml:space="preserve"> </w:t>
      </w:r>
      <w:r>
        <w:rPr>
          <w:rStyle w:val="VerbatimChar"/>
        </w:rPr>
        <w:t xml:space="preserve">selfdestruct(target)</w:t>
      </w:r>
      <w:r>
        <w:t xml:space="preserve"> </w:t>
      </w:r>
      <w:r>
        <w:t xml:space="preserve">to reclaim</w:t>
      </w:r>
      <w:r>
        <w:t xml:space="preserve"> </w:t>
      </w:r>
      <w:r>
        <w:t xml:space="preserve">storage gas. Alternatively, contracts may be archived by</w:t>
      </w:r>
      <w:r>
        <w:t xml:space="preserve"> </w:t>
      </w:r>
      <w:r>
        <w:t xml:space="preserve">transferring ownership and freezing state. Deployed</w:t>
      </w:r>
      <w:r>
        <w:t xml:space="preserve"> </w:t>
      </w:r>
      <w:r>
        <w:t xml:space="preserve">artefacts and documentation should be preserved for</w:t>
      </w:r>
      <w:r>
        <w:t xml:space="preserve"> </w:t>
      </w:r>
      <w:r>
        <w:t xml:space="preserve">auditing and future reference.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2025-10-18T01:19:34Z</dcterms:created>
  <dcterms:modified xsi:type="dcterms:W3CDTF">2025-10-18T01:19:34Z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