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eadde9cefac9e3be35ecde31a09ddaefc4331b"/>
    <w:p>
      <w:pPr>
        <w:pStyle w:val="Heading1"/>
      </w:pPr>
      <w:r>
        <w:t xml:space="preserve">Appendix C – Intermediate Representation (IR) Specification</w:t>
      </w:r>
    </w:p>
    <w:p>
      <w:pPr>
        <w:pStyle w:val="FirstParagraph"/>
      </w:pPr>
      <w:r>
        <w:t xml:space="preserve">This appendix defines the SynQ IR used by the compiler (§6).</w:t>
      </w:r>
      <w:r>
        <w:t xml:space="preserve"> </w:t>
      </w:r>
      <w:r>
        <w:t xml:space="preserve">The IR sits between the high‑level AST and the VM bytecode.</w:t>
      </w:r>
      <w:r>
        <w:t xml:space="preserve"> </w:t>
      </w:r>
      <w:r>
        <w:t xml:space="preserve">It exposes explicit control flow and typed operations,</w:t>
      </w:r>
      <w:r>
        <w:t xml:space="preserve"> </w:t>
      </w:r>
      <w:r>
        <w:t xml:space="preserve">enabling analysis, optimisation and formal reasoning.</w:t>
      </w:r>
    </w:p>
    <w:bookmarkStart w:id="20" w:name="c.1-ir-overview"/>
    <w:p>
      <w:pPr>
        <w:pStyle w:val="Heading2"/>
      </w:pPr>
      <w:r>
        <w:t xml:space="preserve">C.1 IR Overview</w:t>
      </w:r>
    </w:p>
    <w:p>
      <w:pPr>
        <w:pStyle w:val="FirstParagraph"/>
      </w:pPr>
      <w:r>
        <w:t xml:space="preserve">The IR is a sequence of labelled blocks. Each block</w:t>
      </w:r>
      <w:r>
        <w:t xml:space="preserve"> </w:t>
      </w:r>
      <w:r>
        <w:t xml:space="preserve">contains a list of instructions. Control flows</w:t>
      </w:r>
      <w:r>
        <w:t xml:space="preserve"> </w:t>
      </w:r>
      <w:r>
        <w:t xml:space="preserve">exclusively via terminator instructions at the end of each</w:t>
      </w:r>
      <w:r>
        <w:t xml:space="preserve"> </w:t>
      </w:r>
      <w:r>
        <w:t xml:space="preserve">block. Registers are in SSA form, meaning each register</w:t>
      </w:r>
      <w:r>
        <w:t xml:space="preserve"> </w:t>
      </w:r>
      <w:r>
        <w:t xml:space="preserve">is assigned exactly once. Types are attached to all</w:t>
      </w:r>
      <w:r>
        <w:t xml:space="preserve"> </w:t>
      </w:r>
      <w:r>
        <w:t xml:space="preserve">registers and values.</w:t>
      </w:r>
    </w:p>
    <w:p>
      <w:pPr>
        <w:pStyle w:val="SourceCode"/>
      </w:pPr>
      <w:r>
        <w:rPr>
          <w:rStyle w:val="VerbatimChar"/>
        </w:rPr>
        <w:t xml:space="preserve">Block ::= Label ':' Instr* Term</w:t>
      </w:r>
      <w:r>
        <w:br/>
      </w:r>
      <w:r>
        <w:rPr>
          <w:rStyle w:val="VerbatimChar"/>
        </w:rPr>
        <w:t xml:space="preserve">Instr ::= &lt;operation&gt; &lt;operands&gt;</w:t>
      </w:r>
      <w:r>
        <w:br/>
      </w:r>
      <w:r>
        <w:rPr>
          <w:rStyle w:val="VerbatimChar"/>
        </w:rPr>
        <w:t xml:space="preserve">Term  ::= br Label</w:t>
      </w:r>
      <w:r>
        <w:br/>
      </w:r>
      <w:r>
        <w:rPr>
          <w:rStyle w:val="VerbatimChar"/>
        </w:rPr>
        <w:t xml:space="preserve">        | br_if Reg, Label</w:t>
      </w:r>
      <w:r>
        <w:br/>
      </w:r>
      <w:r>
        <w:rPr>
          <w:rStyle w:val="VerbatimChar"/>
        </w:rPr>
        <w:t xml:space="preserve">        | call Fn, Reg*</w:t>
      </w:r>
      <w:r>
        <w:br/>
      </w:r>
      <w:r>
        <w:rPr>
          <w:rStyle w:val="VerbatimChar"/>
        </w:rPr>
        <w:t xml:space="preserve">        | ret Reg</w:t>
      </w:r>
    </w:p>
    <w:bookmarkEnd w:id="20"/>
    <w:bookmarkStart w:id="21" w:name="c.2-ir-instructions"/>
    <w:p>
      <w:pPr>
        <w:pStyle w:val="Heading2"/>
      </w:pPr>
      <w:r>
        <w:t xml:space="preserve">C.2 IR Instructions</w:t>
      </w:r>
    </w:p>
    <w:p>
      <w:pPr>
        <w:pStyle w:val="FirstParagraph"/>
      </w:pPr>
      <w:r>
        <w:t xml:space="preserve">The following instructions are defined. Each consumes</w:t>
      </w:r>
      <w:r>
        <w:t xml:space="preserve"> </w:t>
      </w:r>
      <w:r>
        <w:t xml:space="preserve">gas according to the schedule in §6.6. Types are shown</w:t>
      </w:r>
      <w:r>
        <w:t xml:space="preserve"> </w:t>
      </w:r>
      <w:r>
        <w:t xml:space="preserve">after the opcode.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8"/>
        <w:gridCol w:w="333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T r,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constant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of type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UInt256 r1,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 T r_dst, r_src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value from</w:t>
            </w:r>
            <w:r>
              <w:t xml:space="preserve"> </w:t>
            </w:r>
            <w:r>
              <w:rPr>
                <w:rStyle w:val="VerbatimChar"/>
              </w:rPr>
              <w:t xml:space="preserve">r_src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r_dst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 UInt256 r2,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 T r, [slot]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storage at</w:t>
            </w:r>
            <w:r>
              <w:t xml:space="preserve"> </w:t>
            </w:r>
            <w:r>
              <w:rPr>
                <w:rStyle w:val="VerbatimChar"/>
              </w:rPr>
              <w:t xml:space="preserve">slot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 UInt256 r3, [0x01]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 T [slot],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into storage at</w:t>
            </w:r>
            <w:r>
              <w:t xml:space="preserve"> </w:t>
            </w:r>
            <w:r>
              <w:rPr>
                <w:rStyle w:val="VerbatimChar"/>
              </w:rPr>
              <w:t xml:space="preserve">slot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 UInt256 [0x02], 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T r, r_a, 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r_b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UInt256 r4, r3,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 T r, r_a, 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</w:t>
            </w:r>
            <w:r>
              <w:t xml:space="preserve"> </w:t>
            </w:r>
            <w:r>
              <w:rPr>
                <w:rStyle w:val="VerbatimChar"/>
              </w:rPr>
              <w:t xml:space="preserve">r_b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r_a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 UInt256 r5, r4,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 T r, r_a, 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</w:t>
            </w:r>
            <w:r>
              <w:t xml:space="preserve"> </w:t>
            </w: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r_b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 UInt256 r6, r5,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 T r, r_a, 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</w:t>
            </w:r>
            <w:r>
              <w:t xml:space="preserve"> </w:t>
            </w: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r_b</w:t>
            </w:r>
            <w:r>
              <w:t xml:space="preserve">. Reverts on zero.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 UInt256 r7, r6,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 op r, r_a, 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r_b</w:t>
            </w:r>
            <w:r>
              <w:t xml:space="preserve"> </w:t>
            </w:r>
            <w:r>
              <w:t xml:space="preserve">with 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 lt r8, r7, r0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verify_pqc op, r...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a PQC precompile (Dilithium, etc.).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verify_pqc dilithium3, r_msg, r_sig</w:t>
            </w:r>
          </w:p>
        </w:tc>
      </w:tr>
    </w:tbl>
    <w:p>
      <w:pPr>
        <w:pStyle w:val="BodyText"/>
      </w:pPr>
      <w:r>
        <w:t xml:space="preserve">The IR may be extended with additional opcodes. Each</w:t>
      </w:r>
      <w:r>
        <w:t xml:space="preserve"> </w:t>
      </w:r>
      <w:r>
        <w:t xml:space="preserve">extension must specify gas consumption and safety</w:t>
      </w:r>
      <w:r>
        <w:t xml:space="preserve"> </w:t>
      </w:r>
      <w:r>
        <w:t xml:space="preserve">properties.</w:t>
      </w:r>
    </w:p>
    <w:bookmarkEnd w:id="21"/>
    <w:bookmarkStart w:id="22" w:name="c.3-typing-rules"/>
    <w:p>
      <w:pPr>
        <w:pStyle w:val="Heading2"/>
      </w:pPr>
      <w:r>
        <w:t xml:space="preserve">C.3 Typing Rules</w:t>
      </w:r>
    </w:p>
    <w:p>
      <w:pPr>
        <w:pStyle w:val="FirstParagraph"/>
      </w:pPr>
      <w:r>
        <w:t xml:space="preserve">The type system (§2) is reflected in the IR. All</w:t>
      </w:r>
      <w:r>
        <w:t xml:space="preserve"> </w:t>
      </w:r>
      <w:r>
        <w:t xml:space="preserve">operations require that operand registers have compatible</w:t>
      </w:r>
      <w:r>
        <w:t xml:space="preserve"> </w:t>
      </w:r>
      <w:r>
        <w:t xml:space="preserve">types. IR type checking is enforced by the compiler.</w:t>
      </w:r>
    </w:p>
    <w:bookmarkEnd w:id="22"/>
    <w:bookmarkStart w:id="23" w:name="c.4-control-flow"/>
    <w:p>
      <w:pPr>
        <w:pStyle w:val="Heading2"/>
      </w:pPr>
      <w:r>
        <w:t xml:space="preserve">C.4 Control Flow</w:t>
      </w:r>
    </w:p>
    <w:p>
      <w:pPr>
        <w:pStyle w:val="FirstParagraph"/>
      </w:pPr>
      <w:r>
        <w:t xml:space="preserve">Blocks end with a terminator instruction. A</w:t>
      </w:r>
      <w:r>
        <w:t xml:space="preserve"> </w:t>
      </w:r>
      <w:r>
        <w:rPr>
          <w:rStyle w:val="VerbatimChar"/>
        </w:rPr>
        <w:t xml:space="preserve">br</w:t>
      </w:r>
      <w:r>
        <w:t xml:space="preserve"> </w:t>
      </w:r>
      <w:r>
        <w:t xml:space="preserve">jumps</w:t>
      </w:r>
      <w:r>
        <w:t xml:space="preserve"> </w:t>
      </w:r>
      <w:r>
        <w:t xml:space="preserve">unconditionally to another block. A</w:t>
      </w:r>
      <w:r>
        <w:t xml:space="preserve"> </w:t>
      </w:r>
      <w:r>
        <w:rPr>
          <w:rStyle w:val="VerbatimChar"/>
        </w:rPr>
        <w:t xml:space="preserve">br_if</w:t>
      </w:r>
      <w:r>
        <w:t xml:space="preserve"> </w:t>
      </w:r>
      <w:r>
        <w:t xml:space="preserve">jumps based</w:t>
      </w:r>
      <w:r>
        <w:t xml:space="preserve"> </w:t>
      </w:r>
      <w:r>
        <w:t xml:space="preserve">on a boolean register. A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returns a value from the</w:t>
      </w:r>
      <w:r>
        <w:t xml:space="preserve"> </w:t>
      </w:r>
      <w:r>
        <w:t xml:space="preserve">function.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invokes another function or a precompile</w:t>
      </w:r>
      <w:r>
        <w:t xml:space="preserve"> </w:t>
      </w:r>
      <w:r>
        <w:t xml:space="preserve">and returns to the next instruction.</w:t>
      </w:r>
    </w:p>
    <w:bookmarkEnd w:id="23"/>
    <w:bookmarkStart w:id="24" w:name="c.5-safety-wellformedness"/>
    <w:p>
      <w:pPr>
        <w:pStyle w:val="Heading2"/>
      </w:pPr>
      <w:r>
        <w:t xml:space="preserve">C.5 Safety &amp; Well‑Formedness</w:t>
      </w:r>
    </w:p>
    <w:p>
      <w:pPr>
        <w:pStyle w:val="FirstParagraph"/>
      </w:pPr>
      <w:r>
        <w:t xml:space="preserve">An IR program is well‑formed if:</w:t>
      </w:r>
    </w:p>
    <w:p>
      <w:pPr>
        <w:numPr>
          <w:ilvl w:val="0"/>
          <w:numId w:val="1001"/>
        </w:numPr>
        <w:pStyle w:val="Compact"/>
      </w:pPr>
      <w:r>
        <w:t xml:space="preserve">SSA dominates: every register is defined before use.</w:t>
      </w:r>
    </w:p>
    <w:p>
      <w:pPr>
        <w:numPr>
          <w:ilvl w:val="0"/>
          <w:numId w:val="1001"/>
        </w:numPr>
        <w:pStyle w:val="Compact"/>
      </w:pPr>
      <w:r>
        <w:t xml:space="preserve">Type preservation: operations consume and produce values</w:t>
      </w:r>
      <w:r>
        <w:t xml:space="preserve"> </w:t>
      </w:r>
      <w:r>
        <w:t xml:space="preserve">of declared types.</w:t>
      </w:r>
    </w:p>
    <w:p>
      <w:pPr>
        <w:numPr>
          <w:ilvl w:val="0"/>
          <w:numId w:val="1001"/>
        </w:numPr>
        <w:pStyle w:val="Compact"/>
      </w:pPr>
      <w:r>
        <w:t xml:space="preserve">Terminators: each block ends with exactly one terminator.</w:t>
      </w:r>
    </w:p>
    <w:p>
      <w:pPr>
        <w:numPr>
          <w:ilvl w:val="0"/>
          <w:numId w:val="1001"/>
        </w:numPr>
        <w:pStyle w:val="Compact"/>
      </w:pPr>
      <w:r>
        <w:t xml:space="preserve">Reachability: there is no infinite cycle of empty blocks</w:t>
      </w:r>
      <w:r>
        <w:t xml:space="preserve"> </w:t>
      </w:r>
      <w:r>
        <w:t xml:space="preserve">that consumes no gas. Loops must include a gas</w:t>
      </w:r>
      <w:r>
        <w:t xml:space="preserve"> </w:t>
      </w:r>
      <w:r>
        <w:t xml:space="preserve">deduction or a call to a gas‑charging operation.</w:t>
      </w:r>
    </w:p>
    <w:p>
      <w:pPr>
        <w:pStyle w:val="FirstParagraph"/>
      </w:pPr>
      <w:r>
        <w:t xml:space="preserve">The compiler checks well‑formedness and rejects programs</w:t>
      </w:r>
      <w:r>
        <w:t xml:space="preserve"> </w:t>
      </w:r>
      <w:r>
        <w:t xml:space="preserve">that do not satisfy these conditions.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