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ppendix-e-formal-proof-sketches"/>
    <w:p>
      <w:pPr>
        <w:pStyle w:val="Heading1"/>
      </w:pPr>
      <w:r>
        <w:t xml:space="preserve">Appendix E – Formal Proof Sketches</w:t>
      </w:r>
    </w:p>
    <w:p>
      <w:pPr>
        <w:pStyle w:val="FirstParagraph"/>
      </w:pPr>
      <w:r>
        <w:t xml:space="preserve">To build confidence in the security and correctness of</w:t>
      </w:r>
      <w:r>
        <w:t xml:space="preserve"> </w:t>
      </w:r>
      <w:r>
        <w:t xml:space="preserve">SynQ, this appendix outlines sketches of formal proofs for</w:t>
      </w:r>
      <w:r>
        <w:t xml:space="preserve"> </w:t>
      </w:r>
      <w:r>
        <w:t xml:space="preserve">critical properties. Full mechanised proofs are outside</w:t>
      </w:r>
      <w:r>
        <w:t xml:space="preserve"> </w:t>
      </w:r>
      <w:r>
        <w:t xml:space="preserve">the scope of this document but can be developed using the</w:t>
      </w:r>
      <w:r>
        <w:t xml:space="preserve"> </w:t>
      </w:r>
      <w:r>
        <w:t xml:space="preserve">definitions provided.</w:t>
      </w:r>
    </w:p>
    <w:bookmarkStart w:id="20" w:name="e.1-type-soundness"/>
    <w:p>
      <w:pPr>
        <w:pStyle w:val="Heading2"/>
      </w:pPr>
      <w:r>
        <w:t xml:space="preserve">E.1 Type Soundness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Preservation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Progress</w:t>
      </w:r>
      <w:r>
        <w:t xml:space="preserve"> </w:t>
      </w:r>
      <w:r>
        <w:t xml:space="preserve">theorems (§2.11)</w:t>
      </w:r>
      <w:r>
        <w:t xml:space="preserve"> </w:t>
      </w:r>
      <w:r>
        <w:t xml:space="preserve">constitute type soundness. A proof proceeds by induction</w:t>
      </w:r>
      <w:r>
        <w:t xml:space="preserve"> </w:t>
      </w:r>
      <w:r>
        <w:t xml:space="preserve">on the structure of expressions and commands, using the</w:t>
      </w:r>
      <w:r>
        <w:t xml:space="preserve"> </w:t>
      </w:r>
      <w:r>
        <w:t xml:space="preserve">typing rules (§2.7) and the operational semantics (§2.10).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Preservation:</w:t>
      </w:r>
      <w:r>
        <w:t xml:space="preserve"> </w:t>
      </w:r>
      <w:r>
        <w:t xml:space="preserve">Show that if</w:t>
      </w:r>
      <w:r>
        <w:t xml:space="preserve"> </w:t>
      </w:r>
      <w:r>
        <w:rPr>
          <w:rStyle w:val="VerbatimChar"/>
        </w:rPr>
        <w:t xml:space="preserve">Γ ⊢ c : 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⟨σ, μ, c⟩ → ⟨σ′, μ′, c′⟩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Γ ⊢ c′ : T</w:t>
      </w:r>
      <w:r>
        <w:t xml:space="preserve">. The</w:t>
      </w:r>
      <w:r>
        <w:t xml:space="preserve"> </w:t>
      </w:r>
      <w:r>
        <w:t xml:space="preserve">inductive step analyses each kind of command and verifies</w:t>
      </w:r>
      <w:r>
        <w:t xml:space="preserve"> </w:t>
      </w:r>
      <w:r>
        <w:t xml:space="preserve">that assignments, calls, and storage operations produce</w:t>
      </w:r>
      <w:r>
        <w:t xml:space="preserve"> </w:t>
      </w:r>
      <w:r>
        <w:t xml:space="preserve">values of the expected type.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Progress:</w:t>
      </w:r>
      <w:r>
        <w:t xml:space="preserve"> </w:t>
      </w:r>
      <w:r>
        <w:t xml:space="preserve">Show that if</w:t>
      </w:r>
      <w:r>
        <w:t xml:space="preserve"> </w:t>
      </w:r>
      <w:r>
        <w:rPr>
          <w:rStyle w:val="VerbatimChar"/>
        </w:rPr>
        <w:t xml:space="preserve">Γ ⊢ c : T</w:t>
      </w:r>
      <w:r>
        <w:t xml:space="preserve">, then either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a value, or there exists</w:t>
      </w:r>
      <w:r>
        <w:t xml:space="preserve"> </w:t>
      </w:r>
      <w:r>
        <w:rPr>
          <w:rStyle w:val="VerbatimChar"/>
        </w:rPr>
        <w:t xml:space="preserve">⟨σ′, μ′, c′⟩</w:t>
      </w:r>
      <w:r>
        <w:t xml:space="preserve"> </w:t>
      </w:r>
      <w:r>
        <w:t xml:space="preserve">such that</w:t>
      </w:r>
      <w:r>
        <w:t xml:space="preserve"> </w:t>
      </w:r>
      <w:r>
        <w:rPr>
          <w:rStyle w:val="VerbatimChar"/>
        </w:rPr>
        <w:t xml:space="preserve">⟨σ, μ, c⟩ → ⟨σ′, μ′, c′⟩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reverts. Gas</w:t>
      </w:r>
      <w:r>
        <w:t xml:space="preserve"> </w:t>
      </w:r>
      <w:r>
        <w:t xml:space="preserve">exhaustion is modelled as a special form of revert.</w:t>
      </w:r>
    </w:p>
    <w:bookmarkEnd w:id="20"/>
    <w:bookmarkStart w:id="21" w:name="e.2-determinism"/>
    <w:p>
      <w:pPr>
        <w:pStyle w:val="Heading2"/>
      </w:pPr>
      <w:r>
        <w:t xml:space="preserve">E.2 Determinism</w:t>
      </w:r>
    </w:p>
    <w:p>
      <w:pPr>
        <w:pStyle w:val="FirstParagraph"/>
      </w:pPr>
      <w:r>
        <w:t xml:space="preserve">Prove that the evaluation relation is a deterministic</w:t>
      </w:r>
      <w:r>
        <w:t xml:space="preserve"> </w:t>
      </w:r>
      <w:r>
        <w:t xml:space="preserve">function of the initial state and call data. This follows</w:t>
      </w:r>
      <w:r>
        <w:t xml:space="preserve"> </w:t>
      </w:r>
      <w:r>
        <w:t xml:space="preserve">from the absence of nondeterministic constructs and from</w:t>
      </w:r>
      <w:r>
        <w:t xml:space="preserve"> </w:t>
      </w:r>
      <w:r>
        <w:t xml:space="preserve">the determinism of PQC verification functions (assuming</w:t>
      </w:r>
      <w:r>
        <w:t xml:space="preserve"> </w:t>
      </w:r>
      <w:r>
        <w:t xml:space="preserve">fixed inputs and gas).</w:t>
      </w:r>
    </w:p>
    <w:bookmarkEnd w:id="21"/>
    <w:bookmarkStart w:id="22" w:name="e.3-gas-safety"/>
    <w:p>
      <w:pPr>
        <w:pStyle w:val="Heading2"/>
      </w:pPr>
      <w:r>
        <w:t xml:space="preserve">E.3 Gas Safety</w:t>
      </w:r>
    </w:p>
    <w:p>
      <w:pPr>
        <w:pStyle w:val="FirstParagraph"/>
      </w:pPr>
      <w:r>
        <w:t xml:space="preserve">Show that if a function has a declared gas limit via</w:t>
      </w:r>
      <w:r>
        <w:t xml:space="preserve"> </w:t>
      </w:r>
      <w:r>
        <w:rPr>
          <w:rStyle w:val="VerbatimChar"/>
        </w:rPr>
        <w:t xml:space="preserve">@gas_limit(N)</w:t>
      </w:r>
      <w:r>
        <w:t xml:space="preserve">, then any execution of that function</w:t>
      </w:r>
      <w:r>
        <w:t xml:space="preserve"> </w:t>
      </w:r>
      <w:r>
        <w:t xml:space="preserve">consumes at most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gas. The proof uses the gas cost</w:t>
      </w:r>
      <w:r>
        <w:t xml:space="preserve"> </w:t>
      </w:r>
      <w:r>
        <w:t xml:space="preserve">table (§3.6) and induction over the instruction sequence.</w:t>
      </w:r>
    </w:p>
    <w:bookmarkEnd w:id="22"/>
    <w:bookmarkStart w:id="23" w:name="e.4-pqc-soundness"/>
    <w:p>
      <w:pPr>
        <w:pStyle w:val="Heading2"/>
      </w:pPr>
      <w:r>
        <w:t xml:space="preserve">E.4 PQC Soundness</w:t>
      </w:r>
    </w:p>
    <w:p>
      <w:pPr>
        <w:pStyle w:val="FirstParagraph"/>
      </w:pPr>
      <w:r>
        <w:t xml:space="preserve">Model</w:t>
      </w:r>
      <w:r>
        <w:t xml:space="preserve"> </w:t>
      </w:r>
      <w:r>
        <w:rPr>
          <w:rStyle w:val="VerbatimChar"/>
        </w:rPr>
        <w:t xml:space="preserve">verify_dilithium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verify_falcon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kyber_encapsulate/decapsulate</w:t>
      </w:r>
      <w:r>
        <w:t xml:space="preserve"> </w:t>
      </w:r>
      <w:r>
        <w:t xml:space="preserve">as abstract functions</w:t>
      </w:r>
      <w:r>
        <w:t xml:space="preserve"> </w:t>
      </w:r>
      <w:r>
        <w:t xml:space="preserve">satisfying cryptographic security definitions (EUF‑CMA,</w:t>
      </w:r>
      <w:r>
        <w:t xml:space="preserve"> </w:t>
      </w:r>
      <w:r>
        <w:t xml:space="preserve">IND‑CCA). Show that no attacker interacting with the</w:t>
      </w:r>
      <w:r>
        <w:t xml:space="preserve"> </w:t>
      </w:r>
      <w:r>
        <w:t xml:space="preserve">contract can forge signatures or decrypt messages without</w:t>
      </w:r>
      <w:r>
        <w:t xml:space="preserve"> </w:t>
      </w:r>
      <w:r>
        <w:t xml:space="preserve">the appropriate private keys, except with negligible</w:t>
      </w:r>
      <w:r>
        <w:t xml:space="preserve"> </w:t>
      </w:r>
      <w:r>
        <w:t xml:space="preserve">probability.</w:t>
      </w:r>
    </w:p>
    <w:bookmarkEnd w:id="23"/>
    <w:bookmarkStart w:id="24" w:name="e.5-crosschain-consistency"/>
    <w:p>
      <w:pPr>
        <w:pStyle w:val="Heading2"/>
      </w:pPr>
      <w:r>
        <w:t xml:space="preserve">E.5 Cross‑Chain Consistency</w:t>
      </w:r>
    </w:p>
    <w:p>
      <w:pPr>
        <w:pStyle w:val="FirstParagraph"/>
      </w:pPr>
      <w:r>
        <w:t xml:space="preserve">Formalise the cross‑chain messaging protocol (§5.1).</w:t>
      </w:r>
      <w:r>
        <w:t xml:space="preserve"> </w:t>
      </w:r>
      <w:r>
        <w:t xml:space="preserve">Define a global event log and show that for any event</w:t>
      </w:r>
      <w:r>
        <w:t xml:space="preserve"> </w:t>
      </w:r>
      <w:r>
        <w:t xml:space="preserve">generated on a source chain, the corresponding message</w:t>
      </w:r>
      <w:r>
        <w:t xml:space="preserve"> </w:t>
      </w:r>
      <w:r>
        <w:t xml:space="preserve">delivered to the destination chain matches the original</w:t>
      </w:r>
      <w:r>
        <w:t xml:space="preserve"> </w:t>
      </w:r>
      <w:r>
        <w:t xml:space="preserve">payload, provided that a threshold of honest relayers</w:t>
      </w:r>
      <w:r>
        <w:t xml:space="preserve"> </w:t>
      </w:r>
      <w:r>
        <w:t xml:space="preserve">participates. Use a synchronous model with bounded delays</w:t>
      </w:r>
      <w:r>
        <w:t xml:space="preserve"> </w:t>
      </w:r>
      <w:r>
        <w:t xml:space="preserve">or adapt the proof to the partial synchrony assumptions of</w:t>
      </w:r>
      <w:r>
        <w:t xml:space="preserve"> </w:t>
      </w:r>
      <w:r>
        <w:t xml:space="preserve">PoSy. The proof should account for malleability, relay</w:t>
      </w:r>
      <w:r>
        <w:t xml:space="preserve"> </w:t>
      </w:r>
      <w:r>
        <w:t xml:space="preserve">equivocation and double‑delivery attacks.</w:t>
      </w:r>
    </w:p>
    <w:p>
      <w:pPr>
        <w:pStyle w:val="BodyText"/>
      </w:pPr>
      <w:r>
        <w:t xml:space="preserve">These sketches form the basis for rigorous proofs</w:t>
      </w:r>
      <w:r>
        <w:t xml:space="preserve"> </w:t>
      </w:r>
      <w:r>
        <w:t xml:space="preserve">constructed in formal verification frameworks such as</w:t>
      </w:r>
      <w:r>
        <w:t xml:space="preserve"> </w:t>
      </w:r>
      <w:r>
        <w:t xml:space="preserve">TLA+, Coq, or Lean.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2025-10-18T01:19:35Z</dcterms:created>
  <dcterms:modified xsi:type="dcterms:W3CDTF">2025-10-18T01:19:35Z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