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5B38" w14:textId="0A6DEDEA" w:rsidR="00F3190C" w:rsidRDefault="00F3190C" w:rsidP="00F3190C">
      <w:pPr>
        <w:spacing w:after="0"/>
        <w:jc w:val="center"/>
        <w:rPr>
          <w:rFonts w:ascii="Orbitron" w:hAnsi="Orbitron"/>
          <w:b/>
          <w:bCs/>
          <w:sz w:val="36"/>
          <w:szCs w:val="36"/>
        </w:rPr>
      </w:pPr>
      <w:r>
        <w:rPr>
          <w:rFonts w:ascii="Orbitron" w:hAnsi="Orbitron"/>
          <w:b/>
          <w:bCs/>
          <w:sz w:val="36"/>
          <w:szCs w:val="36"/>
        </w:rPr>
        <w:t xml:space="preserve">100 </w:t>
      </w:r>
      <w:r w:rsidRPr="00F3190C">
        <w:rPr>
          <w:rFonts w:ascii="Orbitron" w:hAnsi="Orbitron"/>
          <w:b/>
          <w:bCs/>
          <w:sz w:val="36"/>
          <w:szCs w:val="36"/>
        </w:rPr>
        <w:t>Reasons to Choose Synergy Network</w:t>
      </w:r>
    </w:p>
    <w:p w14:paraId="2850AD2A" w14:textId="1BDADB57" w:rsidR="00F3190C" w:rsidRPr="00F3190C" w:rsidRDefault="00F3190C" w:rsidP="00F3190C">
      <w:pPr>
        <w:spacing w:after="0"/>
        <w:jc w:val="center"/>
        <w:rPr>
          <w:rFonts w:ascii="Orbitron" w:hAnsi="Orbitron"/>
          <w:b/>
          <w:bCs/>
          <w:sz w:val="32"/>
          <w:szCs w:val="32"/>
        </w:rPr>
      </w:pPr>
      <w:r w:rsidRPr="00F3190C">
        <w:rPr>
          <w:rFonts w:ascii="Orbitron" w:hAnsi="Orbitron"/>
          <w:b/>
          <w:bCs/>
          <w:sz w:val="32"/>
          <w:szCs w:val="32"/>
        </w:rPr>
        <w:t>Over Other Blockchains</w:t>
      </w:r>
    </w:p>
    <w:p w14:paraId="3A0FECCA" w14:textId="6643A8CA" w:rsidR="00F3190C" w:rsidRPr="00F3190C" w:rsidRDefault="00F3190C" w:rsidP="00F3190C">
      <w:pPr>
        <w:rPr>
          <w:rFonts w:ascii="Inter" w:hAnsi="Inter"/>
          <w:sz w:val="11"/>
          <w:szCs w:val="11"/>
        </w:rPr>
      </w:pPr>
      <w:r w:rsidRPr="00F3190C">
        <w:rPr>
          <w:rFonts w:ascii="Inter" w:hAnsi="Inter"/>
          <w:i/>
          <w:iCs/>
        </w:rPr>
        <w:t xml:space="preserve"> </w:t>
      </w:r>
    </w:p>
    <w:p w14:paraId="0FFBD4A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Network eliminates the chronic fragmentation of today’s blockchain ecosystem by giving every chain a mathematically trustable way to interoperate without wrapped assets, custodial bridges, or centralized intermediaries.</w:t>
      </w:r>
    </w:p>
    <w:p w14:paraId="4B18F6C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 offers businesses and institutions a blockchain whose cryptographic backbone is already aligned with NIST post-quantum standards, sparing them from the inevitable emergency migrations competing blockchains will be forced into.</w:t>
      </w:r>
    </w:p>
    <w:p w14:paraId="17BF5B41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Proof-of-Synergy consensus lets validators earn based on measurable contribution and governance participation instead of wealth concentration, fostering a healthier, more meritocratic ecosystem.</w:t>
      </w:r>
    </w:p>
    <w:p w14:paraId="231C79D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cross-chain operations use threshold signatures with no single point of failure, meaning companies can safely move real value between chains even in adversarial conditions that would break conventional bridges.</w:t>
      </w:r>
    </w:p>
    <w:p w14:paraId="167C2EC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Universal Meta-Address allows businesses to maintain one identity for all chains, which radically simplifies compliance, user onboarding, accounting, treasury operations, and multi-chain asset management.</w:t>
      </w:r>
    </w:p>
    <w:p w14:paraId="351AC50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Enterprises gain a network whose protocol-level crypto agility guarantees that as PQC evolves, their systems remain upgradeable without requiring a hard fork or risking backward compatibility failures.</w:t>
      </w:r>
    </w:p>
    <w:p w14:paraId="5F04B33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Because Synergy uses validator clusters instead of single proposers, institutional users receive stronger protection against validator collusion, downtime, and cartelization that plague classical Proof-of-Stake systems.</w:t>
      </w:r>
    </w:p>
    <w:p w14:paraId="525C4ED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architecture empowers businesses to run formally verifiable smart contracts that can be mathematically proven safe before deployment, dramatically reducing the risk of financial exploits.</w:t>
      </w:r>
    </w:p>
    <w:p w14:paraId="3A49BD10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deterministic multi-chain execution enables complex financial agreements that settle across Ethereum, Solana, Bitcoin, and Synergy simultaneously — something no legacy smart-contract platform can do.</w:t>
      </w:r>
    </w:p>
    <w:p w14:paraId="39E6EDA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ensures that corporate blockchain integrations remain legally defensible by providing a native compliance layer for optional KYC/AML enforcement without compromising the permissionless core.</w:t>
      </w:r>
    </w:p>
    <w:p w14:paraId="6B38B7A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Its Aegis PQC Core protects every transaction, wallet, validator key, and cross-chain message from the “harvest-now, decrypt-later” threat that will expose other chains retroactively once quantum computing matures.</w:t>
      </w:r>
    </w:p>
    <w:p w14:paraId="79EB39A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allows regulators, enterprises, and auditors to verify cryptographic integrity without needing third-party bridge operators, greatly simplifying legal oversight and risk assessments.</w:t>
      </w:r>
    </w:p>
    <w:p w14:paraId="50103C7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Businesses benefit from transaction fees that remain predictable and low—even during network congestion—thanks to parallelized cluster consensus rather than single-path bottlenecking.</w:t>
      </w:r>
    </w:p>
    <w:p w14:paraId="19EBCDD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gives enterprises a security posture strong enough for financial institutions, defense contractors, health systems, and governments without the complexity of bolt-on solutions.</w:t>
      </w:r>
    </w:p>
    <w:p w14:paraId="06445E3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validator Synergy Score incentivizes long-term reliability and governance engagement, producing a validator ecosystem that is more aligned with institutional expectations for operational discipline.</w:t>
      </w:r>
    </w:p>
    <w:p w14:paraId="07DF24C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Companies can leverage the Creator’s Portal to launch asset ecosystems, governance tokens, or reward systems without touching insecure third-party launchpads or ad hoc token frameworks.</w:t>
      </w:r>
    </w:p>
    <w:p w14:paraId="16935E2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provides a global, interoperable financial routing infrastructure capable of moving capital between multiple chains at a fraction of the cost of existing cross-chain networks.</w:t>
      </w:r>
    </w:p>
    <w:p w14:paraId="2E8FF94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built-in emergency rollback capability, governed by supermajority vote, offers a rare but essential safety valve for catastrophic smart contract exploits—an institutional necessity that most chains lack.</w:t>
      </w:r>
    </w:p>
    <w:p w14:paraId="645ADCFA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architecture supports tokenization frameworks that can simultaneously live on multiple chains, enabling businesses to unify liquidity without locking assets in bridges.</w:t>
      </w:r>
    </w:p>
    <w:p w14:paraId="0CDC47E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provides deterministic cross-chain recordkeeping, allowing corporations to unify accounting entries, transaction logs, and compliance records across chains into a single verifiable ledger.</w:t>
      </w:r>
    </w:p>
    <w:p w14:paraId="79BF1DAA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threshold MPC custody mode gives enterprises a decentralized, cryptographically enforced alternative to multisigs, eliminating human-factor vulnerabilities in treasury management.</w:t>
      </w:r>
    </w:p>
    <w:p w14:paraId="33E1FE2A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architecture is built for long-term enterprise adoption, meaning features like formal verification, PQC, and multi-chain orchestration are not optional add-ons but native protocol functions.</w:t>
      </w:r>
    </w:p>
    <w:p w14:paraId="7FE0716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Companies can offload complex chain-to-chain communication logic to Synergy’s protocol layer, dramatically reducing engineering costs.</w:t>
      </w:r>
    </w:p>
    <w:p w14:paraId="606AE4E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PoSy consensus design naturally limits the influence of high-stake but low-participation validators, preventing the “lazy whale” problem that centralizes most PoS networks.</w:t>
      </w:r>
    </w:p>
    <w:p w14:paraId="7FDBD751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provides developers with one consistent programming language and VM (SynQ) for multi-chain applications, eliminating the need to learn multiple smart-contract ecosystems.</w:t>
      </w:r>
    </w:p>
    <w:p w14:paraId="2FE02C1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hybrid cryptographic engine allows Synergy to safely verify classical signatures from chains like Bitcoin or Ethereum while securing its own operations with PQC signatures.</w:t>
      </w:r>
    </w:p>
    <w:p w14:paraId="4609781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Enterprise-grade formal verification tooling gives businesses the mathematical assurance needed for multi-billion-dollar smart-contract deployments.</w:t>
      </w:r>
    </w:p>
    <w:p w14:paraId="74516B4A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UMA reduces user friction dramatically, enabling Web2-level user experiences for wallets and applications.</w:t>
      </w:r>
    </w:p>
    <w:p w14:paraId="728DDAA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Institutions gain a blockchain with predictable governance, weighted by reputation and contribution instead of raw token ownership, ensuring more stable and equitable decision-making.</w:t>
      </w:r>
    </w:p>
    <w:p w14:paraId="470A6B1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supports multi-chain asset custody strategies that remain functional even in the event of chain outages, reorgs, or attacks on external networks.</w:t>
      </w:r>
    </w:p>
    <w:p w14:paraId="75BA7E1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With threshold attestations, no single validator or relay node can lie about external chain events, providing cryptographic guarantees not seen in typical bridging architectures.</w:t>
      </w:r>
    </w:p>
    <w:p w14:paraId="0E84D99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dramatically improves composability by allowing cross-chain protocols to operate as one unified system instead of fragmented silos.</w:t>
      </w:r>
    </w:p>
    <w:p w14:paraId="199BE1B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positions businesses ahead of upcoming PQC-related regulatory requirements, reducing compliance risk before new standards mandate migration.</w:t>
      </w:r>
    </w:p>
    <w:p w14:paraId="0C2E6F31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energy-efficient cluster consensus allows businesses to meet ESG requirements without sacrificing performance.</w:t>
      </w:r>
    </w:p>
    <w:p w14:paraId="6C6C522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deterministic finality allows companies to rely on transaction settlement times for automated workflows and supply-chain processes.</w:t>
      </w:r>
    </w:p>
    <w:p w14:paraId="1297F06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can orchestrate multi-chain transactions atomically—something no mainstream Layer-1 executes natively.</w:t>
      </w:r>
    </w:p>
    <w:p w14:paraId="69EEFB5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Enterprise deployments can run private Synergy subnets that still benefit from global interoperability, creating hybrid architectures far more capable than existing Layer-2 solutions.</w:t>
      </w:r>
    </w:p>
    <w:p w14:paraId="102CCA2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PQC ensures enterprise key management strategies remain viable for decades, avoiding expensive future key migrations.</w:t>
      </w:r>
    </w:p>
    <w:p w14:paraId="21538DE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reduces smart-contract audit costs by providing formal verification templates and pre-audited primitives.</w:t>
      </w:r>
    </w:p>
    <w:p w14:paraId="1D7709E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system’s built-in reputation layer encourages validator professionalism and discourages malicious or negligent behavior.</w:t>
      </w:r>
    </w:p>
    <w:p w14:paraId="7AC3542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Businesses gain access to a cross-chain routing infrastructure that is immune to most forms of bridge-specific exploitation.</w:t>
      </w:r>
    </w:p>
    <w:p w14:paraId="328064B0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multi-cluster architecture scales horizontally, meaning throughput grows predictably with network adoption instead of hitting hard caps.</w:t>
      </w:r>
    </w:p>
    <w:p w14:paraId="02A38BD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design supports legally compliant identity frameworks without forcing identity requirements on permissionless users.</w:t>
      </w:r>
    </w:p>
    <w:p w14:paraId="5738205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governance model enables enterprises to influence roadmap decisions proportionally to their contribution and reliability—not just capital holdings.</w:t>
      </w:r>
    </w:p>
    <w:p w14:paraId="1F3D07F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multi-layered security architecture safeguards corporate assets across both classical and quantum threat models.</w:t>
      </w:r>
    </w:p>
    <w:p w14:paraId="03676A3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deterministic execution guarantees that cross-chain workflows behave identically every time, a requirement for regulated industries.</w:t>
      </w:r>
    </w:p>
    <w:p w14:paraId="3162B7DE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Companies get access to multi-chain liquidity aggregation with no custody risk, enabling deeper markets for tokenization and DeFi products.</w:t>
      </w:r>
    </w:p>
    <w:p w14:paraId="33348B1A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system’s emergency fail-safes allow critical infrastructure applications to operate with reduced catastrophic-risk exposure.</w:t>
      </w:r>
    </w:p>
    <w:p w14:paraId="01C93AE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unified developer framework drastically reduces technical debt associated with multi-chain integration.</w:t>
      </w:r>
    </w:p>
    <w:p w14:paraId="1FE5EE0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progressive decentralization path gives corporations a stable governance environment unlikely to suffer from abrupt protocol forks.</w:t>
      </w:r>
    </w:p>
    <w:p w14:paraId="52E8BC1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reduces vendor lock-in by enabling asset portability across chains without relying on centralized infrastructure.</w:t>
      </w:r>
    </w:p>
    <w:p w14:paraId="458578E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Businesses can rely on predictable upgrade cycles tied to DAO governance rather than unilateral foundation-controlled changes.</w:t>
      </w:r>
    </w:p>
    <w:p w14:paraId="2C7C23F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is architected to remain competitive during the quantum transition, something most chains will not survive without aggressive rewrites.</w:t>
      </w:r>
    </w:p>
    <w:p w14:paraId="317D743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cross-chain proof verification logic is designed to withstand both quantum-accelerated and classical cryptanalytic threats.</w:t>
      </w:r>
    </w:p>
    <w:p w14:paraId="34E0D4A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Developers get a first-party interoperability SDK, eliminating the need for patchwork libraries and inconsistent tooling.</w:t>
      </w:r>
    </w:p>
    <w:p w14:paraId="304BB12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offers institutions a way to maintain on-chain data integrity across multiple networks using a unified attestation layer.</w:t>
      </w:r>
    </w:p>
    <w:p w14:paraId="62D75FB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deterministic behavior simplifies legal dispute resolution by reducing ambiguity in cross-chain transaction ordering.</w:t>
      </w:r>
    </w:p>
    <w:p w14:paraId="7B7F945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UMA eliminates costly integration overheads associated with multi-address systems across blockchains.</w:t>
      </w:r>
    </w:p>
    <w:p w14:paraId="686ADBE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allows businesses to transition gradually toward quantum-safe security without breaking legacy operations.</w:t>
      </w:r>
    </w:p>
    <w:p w14:paraId="6682B7A1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validator cluster rotations reduce the risk of long-term validator collusion, a persistent security flaw in static PoS systems.</w:t>
      </w:r>
    </w:p>
    <w:p w14:paraId="3FCB9AB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gives enterprises a future-proof foundation for digital identity, tokenization, and multi-chain data compliance.</w:t>
      </w:r>
    </w:p>
    <w:p w14:paraId="00FB48A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PQC-first security model is designed for sovereign-grade use cases where national-level threat actors are a concern.</w:t>
      </w:r>
    </w:p>
    <w:p w14:paraId="431F174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allows businesses to automate settlement workflows across chains without relying on centralized clearinghouses.</w:t>
      </w:r>
    </w:p>
    <w:p w14:paraId="1ACC7B6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energy profile is compatible with sustainability frameworks required by banks, insurers, and certain governments.</w:t>
      </w:r>
    </w:p>
    <w:p w14:paraId="31A7BCD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deterministic multi-chain proofs allow auditors to validate corporate chain activity without chain-specific tooling.</w:t>
      </w:r>
    </w:p>
    <w:p w14:paraId="0B057A4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unified programming environment of SynQ lowers the barrier to hiring developers, reducing enterprise staffing costs.</w:t>
      </w:r>
    </w:p>
    <w:p w14:paraId="6C3193C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reduces liquidity fragmentation by allowing direct chain-to-chain capital flows without wrapping.</w:t>
      </w:r>
    </w:p>
    <w:p w14:paraId="44FFB8F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provides built-in support for enterprise key recovery strategies compatible with PQC standards.</w:t>
      </w:r>
    </w:p>
    <w:p w14:paraId="216712D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The protocol’s internal reputation system creates natural incentives for validator transparency and professionalism.</w:t>
      </w:r>
    </w:p>
    <w:p w14:paraId="0A4A0C9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empowers businesses to build applications that interact with Web3 as a whole, not just a single ecosystem.</w:t>
      </w:r>
    </w:p>
    <w:p w14:paraId="55D27BF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fully open audit trails allow compliance officers to monitor chain activity with the same clarity as traditional financial systems.</w:t>
      </w:r>
    </w:p>
    <w:p w14:paraId="06EB5F0C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multi-chain escrow capabilities enable complex enterprise contracts that span multiple ecosystems.</w:t>
      </w:r>
    </w:p>
    <w:p w14:paraId="0EAA0370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reduces operational risk by removing human-controlled bridge operators, which have historically been the largest failure vector in blockchain.</w:t>
      </w:r>
    </w:p>
    <w:p w14:paraId="2B529C6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modular architecture allows enterprises to deploy domain-specific logic—financial, supply chain, identity—without forking the chain.</w:t>
      </w:r>
    </w:p>
    <w:p w14:paraId="1B461406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quantum-resistant signatures allow high-value institutions to adopt blockchain without fear of long-term cryptographic obsolescence.</w:t>
      </w:r>
    </w:p>
    <w:p w14:paraId="6A7AFB66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system scales governance through Synergy Score weighting, ensuring high-value decisions aren’t dominated by disengaged large holders.</w:t>
      </w:r>
    </w:p>
    <w:p w14:paraId="0B0B745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UMA drastically improves user experience for consumer applications, reducing onboarding friction.</w:t>
      </w:r>
    </w:p>
    <w:p w14:paraId="517BD45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cross-chain proof model allows companies to unify multi-chain operations into a single automated workflow.</w:t>
      </w:r>
    </w:p>
    <w:p w14:paraId="168F306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threat model accommodates both present-day cyberattacks and future quantum-enabled adversaries.</w:t>
      </w:r>
    </w:p>
    <w:p w14:paraId="0E3FDA5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multi-chain composability allows apps to use the best assets and liquidity from every chain simultaneously.</w:t>
      </w:r>
    </w:p>
    <w:p w14:paraId="42A84B65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fast finality makes Synergy suitable for real-time financial applications and settlement infrastructure.</w:t>
      </w:r>
    </w:p>
    <w:p w14:paraId="4D612AF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Validator incentive alignment ensures that long-term economic sustainability is prioritized over short-term inflationary rewards.</w:t>
      </w:r>
    </w:p>
    <w:p w14:paraId="23BA5EA9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allows enterprises to deploy regulated DeFi products with compliance rails pre-built into the protocol.</w:t>
      </w:r>
    </w:p>
    <w:p w14:paraId="3FCE48D2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cross-chain deterministic proofs simplify insurance modeling for blockchain-based financial products.</w:t>
      </w:r>
    </w:p>
    <w:p w14:paraId="67CC6871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lastRenderedPageBreak/>
        <w:t>The network’s PQC also protects archived data—critical for industries with long retention requirements such as healthcare or finance.</w:t>
      </w:r>
    </w:p>
    <w:p w14:paraId="27CFB42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supports multi-chain disaster recovery strategies not possible on single-chain ecosystems.</w:t>
      </w:r>
    </w:p>
    <w:p w14:paraId="66402F96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system is designed for interoperability expansion, meaning new chains can be added without architectural redesign.</w:t>
      </w:r>
    </w:p>
    <w:p w14:paraId="476E766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multi-layer security posture provides a defense-in-depth rare among L1 networks.</w:t>
      </w:r>
    </w:p>
    <w:p w14:paraId="73C0BF8E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network’s governance transparency is aligned with institutional reporting requirements.</w:t>
      </w:r>
    </w:p>
    <w:p w14:paraId="448193A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interoperability standards allow enterprises to build once and deploy everywhere, maximizing ROI on development.</w:t>
      </w:r>
    </w:p>
    <w:p w14:paraId="3A09A10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gives enterprises a way to unify siloed blockchain operations into a single strategic infrastructure.</w:t>
      </w:r>
    </w:p>
    <w:p w14:paraId="1E72F743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PQC ensures long-term asset safety even if an external chain becomes compromised or deprecated.</w:t>
      </w:r>
    </w:p>
    <w:p w14:paraId="3B8492E4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UMA system reduces user mistakes, such as sending assets to the wrong address on the wrong chain.</w:t>
      </w:r>
    </w:p>
    <w:p w14:paraId="68040E97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Businesses gain access to a network where every major subsystem—consensus, cryptography, contracts, and interoperability—is patent-protected and unique.</w:t>
      </w:r>
    </w:p>
    <w:p w14:paraId="7EB0A7E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architecture is designed to support sovereign-grade deployments where national blockchain systems require interoperability.</w:t>
      </w:r>
    </w:p>
    <w:p w14:paraId="5A26E63E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Enterprises can trust Synergy to remain operational even as quantum computing disrupts legacy cryptography worldwide.</w:t>
      </w:r>
    </w:p>
    <w:p w14:paraId="215BCCBD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Its multi-chain financial routing layer creates new banking models that transcend the limitations of single-chain infrastructures.</w:t>
      </w:r>
    </w:p>
    <w:p w14:paraId="59CA3DEF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Synergy’s design anticipates technological shifts decades ahead, protecting institutional investment cycles.</w:t>
      </w:r>
    </w:p>
    <w:p w14:paraId="3EB6DA68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The network provides a platform where cross-chain multi-party computation can be integrated into business logic natively.</w:t>
      </w:r>
    </w:p>
    <w:p w14:paraId="07E5A6CB" w14:textId="77777777" w:rsidR="00F3190C" w:rsidRPr="00F3190C" w:rsidRDefault="00F3190C" w:rsidP="00F3190C">
      <w:pPr>
        <w:numPr>
          <w:ilvl w:val="0"/>
          <w:numId w:val="1"/>
        </w:numPr>
        <w:ind w:left="630" w:hanging="630"/>
        <w:rPr>
          <w:rFonts w:ascii="Inter" w:hAnsi="Inter"/>
        </w:rPr>
      </w:pPr>
      <w:r w:rsidRPr="00F3190C">
        <w:rPr>
          <w:rFonts w:ascii="Inter" w:hAnsi="Inter"/>
          <w:b/>
          <w:bCs/>
        </w:rPr>
        <w:t>Synergy positions companies at the forefront of the quantum-secure, interoperable, institutional-grade blockchain era rather than forcing them to retrofit old tools to new realities.</w:t>
      </w:r>
    </w:p>
    <w:p w14:paraId="47E225B4" w14:textId="77777777" w:rsidR="00F3190C" w:rsidRPr="00F3190C" w:rsidRDefault="00F3190C">
      <w:pPr>
        <w:rPr>
          <w:rFonts w:ascii="Inter" w:hAnsi="Inter"/>
        </w:rPr>
      </w:pPr>
    </w:p>
    <w:sectPr w:rsidR="00F3190C" w:rsidRPr="00F3190C" w:rsidSect="00F3190C">
      <w:pgSz w:w="12240" w:h="15840"/>
      <w:pgMar w:top="864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7032F"/>
    <w:multiLevelType w:val="multilevel"/>
    <w:tmpl w:val="822E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1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0C"/>
    <w:rsid w:val="00996575"/>
    <w:rsid w:val="00F3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46BF"/>
  <w15:chartTrackingRefBased/>
  <w15:docId w15:val="{9A362E4D-626E-6843-8206-48CF6286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2186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2025-11-13T19:18:00Z</dcterms:created>
  <dcterms:modified xsi:type="dcterms:W3CDTF">2025-11-13T19:21:00Z</dcterms:modified>
</cp:coreProperties>
</file>