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3.png" ContentType="image/png"/>
  <Override PartName="/word/media/rId40.png" ContentType="image/png"/>
  <Override PartName="/word/media/rId43.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Synergy</w:t>
      </w:r>
      <w:r>
        <w:t xml:space="preserve"> </w:t>
      </w:r>
      <w:r>
        <w:t xml:space="preserve">Network</w:t>
      </w:r>
      <w:r>
        <w:t xml:space="preserve"> </w:t>
      </w:r>
      <w:r>
        <w:t xml:space="preserve">DAG</w:t>
      </w:r>
      <w:r>
        <w:t xml:space="preserve"> </w:t>
      </w:r>
      <w:r>
        <w:t xml:space="preserve">Validator</w:t>
      </w:r>
      <w:r>
        <w:t xml:space="preserve"> </w:t>
      </w:r>
      <w:r>
        <w:t xml:space="preserve">Cluster</w:t>
      </w:r>
      <w:r>
        <w:t xml:space="preserve"> </w:t>
      </w:r>
      <w:r>
        <w:t xml:space="preserve">Integration</w:t>
      </w:r>
      <w:r>
        <w:t xml:space="preserve"> </w:t>
      </w:r>
      <w:r>
        <w:t xml:space="preserve">and</w:t>
      </w:r>
      <w:r>
        <w:t xml:space="preserve"> </w:t>
      </w:r>
      <w:r>
        <w:t xml:space="preserve">Security</w:t>
      </w:r>
      <w:r>
        <w:t xml:space="preserve"> </w:t>
      </w:r>
      <w:r>
        <w:t xml:space="preserve">Hardening</w:t>
      </w:r>
      <w:r>
        <w:t xml:space="preserve"> </w:t>
      </w:r>
      <w:r>
        <w:t xml:space="preserve">Report</w:t>
      </w:r>
    </w:p>
    <w:p>
      <w:pPr>
        <w:pStyle w:val="Subtitle"/>
      </w:pPr>
      <w:r>
        <w:t xml:space="preserve">Merged</w:t>
      </w:r>
      <w:r>
        <w:t xml:space="preserve"> </w:t>
      </w:r>
      <w:r>
        <w:t xml:space="preserve">and</w:t>
      </w:r>
      <w:r>
        <w:t xml:space="preserve"> </w:t>
      </w:r>
      <w:r>
        <w:t xml:space="preserve">expanded</w:t>
      </w:r>
      <w:r>
        <w:t xml:space="preserve"> </w:t>
      </w:r>
      <w:r>
        <w:t xml:space="preserve">report:</w:t>
      </w:r>
      <w:r>
        <w:t xml:space="preserve"> </w:t>
      </w:r>
      <w:r>
        <w:t xml:space="preserve">earlier</w:t>
      </w:r>
      <w:r>
        <w:t xml:space="preserve"> </w:t>
      </w:r>
      <w:r>
        <w:t xml:space="preserve">integration</w:t>
      </w:r>
      <w:r>
        <w:t xml:space="preserve"> </w:t>
      </w:r>
      <w:r>
        <w:t xml:space="preserve">plan</w:t>
      </w:r>
      <w:r>
        <w:t xml:space="preserve"> </w:t>
      </w:r>
      <w:r>
        <w:t xml:space="preserve">+</w:t>
      </w:r>
      <w:r>
        <w:t xml:space="preserve"> </w:t>
      </w:r>
      <w:r>
        <w:t xml:space="preserve">direct</w:t>
      </w:r>
      <w:r>
        <w:t xml:space="preserve"> </w:t>
      </w:r>
      <w:r>
        <w:t xml:space="preserve">review</w:t>
      </w:r>
      <w:r>
        <w:t xml:space="preserve"> </w:t>
      </w:r>
      <w:r>
        <w:t xml:space="preserve">of</w:t>
      </w:r>
      <w:r>
        <w:t xml:space="preserve"> </w:t>
      </w:r>
      <w:r>
        <w:rPr>
          <w:rStyle w:val="VerbatimChar"/>
        </w:rPr>
        <w:t xml:space="preserve">src.zip</w:t>
      </w:r>
      <w:r>
        <w:t xml:space="preserve"> </w:t>
      </w:r>
      <w:r>
        <w:t xml:space="preserve">validator/client</w:t>
      </w:r>
      <w:r>
        <w:t xml:space="preserve"> </w:t>
      </w:r>
      <w:r>
        <w:t xml:space="preserve">source</w:t>
      </w:r>
    </w:p>
    <w:p>
      <w:pPr>
        <w:pStyle w:val="Date"/>
      </w:pPr>
      <w:r>
        <w:t xml:space="preserve">March</w:t>
      </w:r>
      <w:r>
        <w:t xml:space="preserve"> </w:t>
      </w:r>
      <w:r>
        <w:t xml:space="preserve">19,</w:t>
      </w:r>
      <w:r>
        <w:t xml:space="preserve"> </w:t>
      </w:r>
      <w:r>
        <w:t xml:space="preserve">2026</w:t>
      </w:r>
    </w:p>
    <w:p>
      <w:pPr>
        <w:pStyle w:val="BlockText"/>
      </w:pPr>
      <w:r>
        <w:rPr>
          <w:b/>
          <w:bCs/>
        </w:rPr>
        <w:t xml:space="preserve">Supersession note.</w:t>
      </w:r>
      <w:r>
        <w:t xml:space="preserve"> </w:t>
      </w:r>
      <w:r>
        <w:t xml:space="preserve">This document merges and supersedes the earlier DAG integration plan by adding a repository-aware source review of the</w:t>
      </w:r>
      <w:r>
        <w:t xml:space="preserve"> </w:t>
      </w:r>
      <w:r>
        <w:rPr>
          <w:rStyle w:val="VerbatimChar"/>
        </w:rPr>
        <w:t xml:space="preserve">src.zip</w:t>
      </w:r>
      <w:r>
        <w:t xml:space="preserve"> </w:t>
      </w:r>
      <w:r>
        <w:t xml:space="preserve">runtime bundle. The earlier report was specification-grounded; this version keeps the same architectural recommendation but tightens it using direct code findings.</w:t>
      </w:r>
    </w:p>
    <w:p>
      <w:pPr>
        <w:pStyle w:val="BlockText"/>
      </w:pPr>
      <w:r>
        <w:rPr>
          <w:b/>
          <w:bCs/>
        </w:rPr>
        <w:t xml:space="preserve">Coverage note.</w:t>
      </w:r>
      <w:r>
        <w:t xml:space="preserve"> </w:t>
      </w:r>
      <w:r>
        <w:t xml:space="preserve">The current merge set includes the earlier report, the</w:t>
      </w:r>
      <w:r>
        <w:t xml:space="preserve"> </w:t>
      </w:r>
      <w:r>
        <w:rPr>
          <w:rStyle w:val="VerbatimChar"/>
        </w:rPr>
        <w:t xml:space="preserve">src.zip</w:t>
      </w:r>
      <w:r>
        <w:t xml:space="preserve"> </w:t>
      </w:r>
      <w:r>
        <w:t xml:space="preserve">validator/client source bundle, and the uploaded Synergy specification / whitepaper corpus. The</w:t>
      </w:r>
      <w:r>
        <w:t xml:space="preserve"> </w:t>
      </w:r>
      <w:r>
        <w:rPr>
          <w:rStyle w:val="VerbatimChar"/>
        </w:rPr>
        <w:t xml:space="preserve">synergy-node-control-panel</w:t>
      </w:r>
      <w:r>
        <w:t xml:space="preserve"> </w:t>
      </w:r>
      <w:r>
        <w:t xml:space="preserve">source itself is still not present in the merge inputs, so control-panel changes remain design-level recommendations rather than a file-by-file control-panel audit.</w:t>
      </w:r>
    </w:p>
    <w:bookmarkStart w:id="20" w:name="quick-navigation"/>
    <w:p>
      <w:pPr>
        <w:pStyle w:val="Heading2"/>
      </w:pPr>
      <w:r>
        <w:t xml:space="preserve">Quick navigation</w:t>
      </w:r>
    </w:p>
    <w:p>
      <w:pPr>
        <w:pStyle w:val="Compact"/>
        <w:numPr>
          <w:ilvl w:val="0"/>
          <w:numId w:val="1001"/>
        </w:numPr>
      </w:pPr>
      <w:r>
        <w:t xml:space="preserve">Executive conclusion</w:t>
      </w:r>
    </w:p>
    <w:p>
      <w:pPr>
        <w:pStyle w:val="Compact"/>
        <w:numPr>
          <w:ilvl w:val="0"/>
          <w:numId w:val="1001"/>
        </w:numPr>
      </w:pPr>
      <w:r>
        <w:t xml:space="preserve">What is new in this merged report</w:t>
      </w:r>
    </w:p>
    <w:p>
      <w:pPr>
        <w:pStyle w:val="Compact"/>
        <w:numPr>
          <w:ilvl w:val="0"/>
          <w:numId w:val="1001"/>
        </w:numPr>
      </w:pPr>
      <w:r>
        <w:t xml:space="preserve">Full review scope and coverage</w:t>
      </w:r>
    </w:p>
    <w:p>
      <w:pPr>
        <w:pStyle w:val="Compact"/>
        <w:numPr>
          <w:ilvl w:val="0"/>
          <w:numId w:val="1001"/>
        </w:numPr>
      </w:pPr>
      <w:r>
        <w:t xml:space="preserve">Current implementation reality from the source tree</w:t>
      </w:r>
    </w:p>
    <w:p>
      <w:pPr>
        <w:pStyle w:val="Compact"/>
        <w:numPr>
          <w:ilvl w:val="0"/>
          <w:numId w:val="1001"/>
        </w:numPr>
      </w:pPr>
      <w:r>
        <w:t xml:space="preserve">Recommended target architecture</w:t>
      </w:r>
    </w:p>
    <w:p>
      <w:pPr>
        <w:pStyle w:val="Compact"/>
        <w:numPr>
          <w:ilvl w:val="0"/>
          <w:numId w:val="1001"/>
        </w:numPr>
      </w:pPr>
      <w:r>
        <w:t xml:space="preserve">Dependency-ordered integration roadmap</w:t>
      </w:r>
    </w:p>
    <w:p>
      <w:pPr>
        <w:pStyle w:val="Compact"/>
        <w:numPr>
          <w:ilvl w:val="0"/>
          <w:numId w:val="1001"/>
        </w:numPr>
      </w:pPr>
      <w:r>
        <w:t xml:space="preserve">DAG-specific security enforcement plan</w:t>
      </w:r>
    </w:p>
    <w:p>
      <w:pPr>
        <w:pStyle w:val="Compact"/>
        <w:numPr>
          <w:ilvl w:val="0"/>
          <w:numId w:val="1001"/>
        </w:numPr>
      </w:pPr>
      <w:r>
        <w:t xml:space="preserve">Concrete file touchpoint plan</w:t>
      </w:r>
    </w:p>
    <w:p>
      <w:pPr>
        <w:pStyle w:val="Compact"/>
        <w:numPr>
          <w:ilvl w:val="0"/>
          <w:numId w:val="1001"/>
        </w:numPr>
      </w:pPr>
      <w:r>
        <w:t xml:space="preserve">Remaining blind spots and most useful next inputs</w:t>
      </w:r>
    </w:p>
    <w:p>
      <w:pPr>
        <w:pStyle w:val="Compact"/>
        <w:numPr>
          <w:ilvl w:val="0"/>
          <w:numId w:val="1001"/>
        </w:numPr>
      </w:pPr>
      <w:r>
        <w:t xml:space="preserve">Appendices: source inventory, document corpus, DAG config, DAG RPCs, Mermaid snippets</w:t>
      </w:r>
    </w:p>
    <w:bookmarkEnd w:id="20"/>
    <w:bookmarkStart w:id="24" w:name="executive-conclusion"/>
    <w:p>
      <w:pPr>
        <w:pStyle w:val="Heading1"/>
      </w:pPr>
      <w:r>
        <w:t xml:space="preserve">Executive conclusion</w:t>
      </w:r>
    </w:p>
    <w:p>
      <w:pPr>
        <w:pStyle w:val="FirstParagraph"/>
      </w:pPr>
      <w:r>
        <w:t xml:space="preserve">The core recommendation does</w:t>
      </w:r>
      <w:r>
        <w:t xml:space="preserve"> </w:t>
      </w:r>
      <w:r>
        <w:rPr>
          <w:b/>
          <w:bCs/>
        </w:rPr>
        <w:t xml:space="preserve">not</w:t>
      </w:r>
      <w:r>
        <w:t xml:space="preserve"> </w:t>
      </w:r>
      <w:r>
        <w:t xml:space="preserve">change after source review: Synergy should</w:t>
      </w:r>
      <w:r>
        <w:t xml:space="preserve"> </w:t>
      </w:r>
      <w:r>
        <w:rPr>
          <w:b/>
          <w:bCs/>
        </w:rPr>
        <w:t xml:space="preserve">not</w:t>
      </w:r>
      <w:r>
        <w:t xml:space="preserve"> </w:t>
      </w:r>
      <w:r>
        <w:t xml:space="preserve">pivot to a pure network-wide DAG-finality design. The right move is still a</w:t>
      </w:r>
      <w:r>
        <w:t xml:space="preserve"> </w:t>
      </w:r>
      <w:r>
        <w:rPr>
          <w:b/>
          <w:bCs/>
        </w:rPr>
        <w:t xml:space="preserve">cluster-local certified DAG</w:t>
      </w:r>
      <w:r>
        <w:t xml:space="preserve"> </w:t>
      </w:r>
      <w:r>
        <w:t xml:space="preserve">that improves dissemination, availability, batching, and deterministic pre-ordering</w:t>
      </w:r>
      <w:r>
        <w:t xml:space="preserve"> </w:t>
      </w:r>
      <w:r>
        <w:rPr>
          <w:b/>
          <w:bCs/>
        </w:rPr>
        <w:t xml:space="preserve">under</w:t>
      </w:r>
      <w:r>
        <w:t xml:space="preserve"> </w:t>
      </w:r>
      <w:r>
        <w:t xml:space="preserve">unchanged PoSy quorum-certificate finality.</w:t>
      </w:r>
    </w:p>
    <w:p>
      <w:pPr>
        <w:pStyle w:val="BodyText"/>
      </w:pPr>
      <w:r>
        <w:t xml:space="preserve">The source code makes that recommendation stronger, not weaker. The current runtime is explicitly organized around a linear finalized chain, a proposer loop fed from a flat transaction pool, and a dual-quorum QC path that remains the only hard settlement artifact. There is no existing raw DAG message plane, no DAG-aware block header commitment, and no DAG-aware sync subsystem in the current code. A safe rollout therefore means</w:t>
      </w:r>
      <w:r>
        <w:t xml:space="preserve"> </w:t>
      </w:r>
      <w:r>
        <w:rPr>
          <w:b/>
          <w:bCs/>
        </w:rPr>
        <w:t xml:space="preserve">adding a DAG data plane beneath PoSy finality</w:t>
      </w:r>
      <w:r>
        <w:t xml:space="preserve">, not replacing PoSy’s final commit path.</w:t>
      </w:r>
    </w:p>
    <w:p>
      <w:pPr>
        <w:pStyle w:val="BodyText"/>
      </w:pPr>
      <w:r>
        <w:t xml:space="preserve">The merged conclusion is blunt:</w:t>
      </w:r>
    </w:p>
    <w:p>
      <w:pPr>
        <w:pStyle w:val="Compact"/>
        <w:numPr>
          <w:ilvl w:val="0"/>
          <w:numId w:val="1002"/>
        </w:numPr>
      </w:pPr>
      <w:r>
        <w:t xml:space="preserve">Use a DAG</w:t>
      </w:r>
      <w:r>
        <w:t xml:space="preserve"> </w:t>
      </w:r>
      <w:r>
        <w:rPr>
          <w:b/>
          <w:bCs/>
        </w:rPr>
        <w:t xml:space="preserve">inside each validator cluster</w:t>
      </w:r>
      <w:r>
        <w:t xml:space="preserve">, not across the whole network in the first release.</w:t>
      </w:r>
    </w:p>
    <w:p>
      <w:pPr>
        <w:pStyle w:val="Compact"/>
        <w:numPr>
          <w:ilvl w:val="0"/>
          <w:numId w:val="1002"/>
        </w:numPr>
      </w:pPr>
      <w:r>
        <w:t xml:space="preserve">Keep</w:t>
      </w:r>
      <w:r>
        <w:t xml:space="preserve"> </w:t>
      </w:r>
      <w:r>
        <w:rPr>
          <w:b/>
          <w:bCs/>
        </w:rPr>
        <w:t xml:space="preserve">PoSy dual-quorum QC</w:t>
      </w:r>
      <w:r>
        <w:t xml:space="preserve"> </w:t>
      </w:r>
      <w:r>
        <w:t xml:space="preserve">as the only canonical finality mechanism.</w:t>
      </w:r>
    </w:p>
    <w:p>
      <w:pPr>
        <w:pStyle w:val="Compact"/>
        <w:numPr>
          <w:ilvl w:val="0"/>
          <w:numId w:val="1002"/>
        </w:numPr>
      </w:pPr>
      <w:r>
        <w:t xml:space="preserve">Require</w:t>
      </w:r>
      <w:r>
        <w:t xml:space="preserve"> </w:t>
      </w:r>
      <w:r>
        <w:rPr>
          <w:b/>
          <w:bCs/>
        </w:rPr>
        <w:t xml:space="preserve">availability certification before ordering</w:t>
      </w:r>
      <w:r>
        <w:t xml:space="preserve">.</w:t>
      </w:r>
    </w:p>
    <w:p>
      <w:pPr>
        <w:pStyle w:val="Compact"/>
        <w:numPr>
          <w:ilvl w:val="0"/>
          <w:numId w:val="1002"/>
        </w:numPr>
      </w:pPr>
      <w:r>
        <w:t xml:space="preserve">Use</w:t>
      </w:r>
      <w:r>
        <w:t xml:space="preserve"> </w:t>
      </w:r>
      <w:r>
        <w:rPr>
          <w:b/>
          <w:bCs/>
        </w:rPr>
        <w:t xml:space="preserve">encrypted batches</w:t>
      </w:r>
      <w:r>
        <w:t xml:space="preserve"> </w:t>
      </w:r>
      <w:r>
        <w:t xml:space="preserve">inside the DAG so the DAG does not become a new MEV leak surface.</w:t>
      </w:r>
    </w:p>
    <w:p>
      <w:pPr>
        <w:pStyle w:val="Compact"/>
        <w:numPr>
          <w:ilvl w:val="0"/>
          <w:numId w:val="1002"/>
        </w:numPr>
      </w:pPr>
      <w:r>
        <w:t xml:space="preserve">Export only</w:t>
      </w:r>
      <w:r>
        <w:t xml:space="preserve"> </w:t>
      </w:r>
      <w:r>
        <w:rPr>
          <w:b/>
          <w:bCs/>
        </w:rPr>
        <w:t xml:space="preserve">compact checkpoints</w:t>
      </w:r>
      <w:r>
        <w:t xml:space="preserve"> </w:t>
      </w:r>
      <w:r>
        <w:t xml:space="preserve">across clusters, not raw vertex gossip.</w:t>
      </w:r>
    </w:p>
    <w:p>
      <w:pPr>
        <w:pStyle w:val="CaptionedFigure"/>
      </w:pPr>
      <w:r>
        <w:drawing>
          <wp:inline>
            <wp:extent cx="4535424" cy="7647268"/>
            <wp:effectExtent b="0" l="0" r="0" t="0"/>
            <wp:docPr descr="Current PoSy path versus target hybrid validator-cluster DAG" title="" id="22" name="Picture"/>
            <a:graphic>
              <a:graphicData uri="http://schemas.openxmlformats.org/drawingml/2006/picture">
                <pic:pic>
                  <pic:nvPicPr>
                    <pic:cNvPr descr="/mnt/data/merged_report_assets/chart1.png" id="23" name="Picture"/>
                    <pic:cNvPicPr>
                      <a:picLocks noChangeArrowheads="1" noChangeAspect="1"/>
                    </pic:cNvPicPr>
                  </pic:nvPicPr>
                  <pic:blipFill>
                    <a:blip r:embed="rId21"/>
                    <a:stretch>
                      <a:fillRect/>
                    </a:stretch>
                  </pic:blipFill>
                  <pic:spPr bwMode="auto">
                    <a:xfrm>
                      <a:off x="0" y="0"/>
                      <a:ext cx="4535424" cy="7647268"/>
                    </a:xfrm>
                    <a:prstGeom prst="rect">
                      <a:avLst/>
                    </a:prstGeom>
                    <a:noFill/>
                    <a:ln w="9525">
                      <a:noFill/>
                      <a:headEnd/>
                      <a:tailEnd/>
                    </a:ln>
                  </pic:spPr>
                </pic:pic>
              </a:graphicData>
            </a:graphic>
          </wp:inline>
        </w:drawing>
      </w:r>
    </w:p>
    <w:p>
      <w:pPr>
        <w:pStyle w:val="ImageCaption"/>
      </w:pPr>
      <w:r>
        <w:t xml:space="preserve">Current PoSy path versus target hybrid validator-cluster DAG</w:t>
      </w:r>
    </w:p>
    <w:p>
      <w:pPr>
        <w:pStyle w:val="BodyText"/>
      </w:pPr>
      <w:r>
        <w:rPr>
          <w:b/>
          <w:bCs/>
        </w:rPr>
        <w:t xml:space="preserve">Source anchors:</w:t>
      </w:r>
      <w:r>
        <w:t xml:space="preserve"> </w:t>
      </w:r>
      <w:r>
        <w:rPr>
          <w:rStyle w:val="VerbatimChar"/>
        </w:rPr>
        <w:t xml:space="preserve">src/consensus/consensus_algorithm.rs</w:t>
      </w:r>
      <w:r>
        <w:t xml:space="preserve">,</w:t>
      </w:r>
      <w:r>
        <w:t xml:space="preserve"> </w:t>
      </w:r>
      <w:r>
        <w:rPr>
          <w:rStyle w:val="VerbatimChar"/>
        </w:rPr>
        <w:t xml:space="preserve">src/consensus/dual_quorum.rs</w:t>
      </w:r>
      <w:r>
        <w:t xml:space="preserve">,</w:t>
      </w:r>
      <w:r>
        <w:t xml:space="preserve"> </w:t>
      </w:r>
      <w:r>
        <w:rPr>
          <w:rStyle w:val="VerbatimChar"/>
        </w:rPr>
        <w:t xml:space="preserve">PoSy_updated.docx</w:t>
      </w:r>
      <w:r>
        <w:t xml:space="preserve">,</w:t>
      </w:r>
      <w:r>
        <w:t xml:space="preserve"> </w:t>
      </w:r>
      <w:r>
        <w:rPr>
          <w:rStyle w:val="VerbatimChar"/>
        </w:rPr>
        <w:t xml:space="preserve">03-proof-of-synergy-consensus.md</w:t>
      </w:r>
      <w:r>
        <w:t xml:space="preserve">,</w:t>
      </w:r>
      <w:r>
        <w:t xml:space="preserve"> </w:t>
      </w:r>
      <w:r>
        <w:rPr>
          <w:rStyle w:val="VerbatimChar"/>
        </w:rPr>
        <w:t xml:space="preserve">Synergy_Network_Roadmap (1).docx</w:t>
      </w:r>
      <w:r>
        <w:t xml:space="preserve">.</w:t>
      </w:r>
    </w:p>
    <w:bookmarkEnd w:id="24"/>
    <w:bookmarkStart w:id="25" w:name="what-is-new-in-this-merged-report"/>
    <w:p>
      <w:pPr>
        <w:pStyle w:val="Heading1"/>
      </w:pPr>
      <w:r>
        <w:t xml:space="preserve">What is new in this merged report</w:t>
      </w:r>
    </w:p>
    <w:p>
      <w:pPr>
        <w:pStyle w:val="FirstParagraph"/>
      </w:pPr>
      <w:r>
        <w:t xml:space="preserve">The earlier report already had the right architectural direction. What this merged version adds is</w:t>
      </w:r>
      <w:r>
        <w:t xml:space="preserve"> </w:t>
      </w:r>
      <w:r>
        <w:rPr>
          <w:b/>
          <w:bCs/>
        </w:rPr>
        <w:t xml:space="preserve">implementation reality</w:t>
      </w:r>
      <w:r>
        <w:t xml:space="preserve">.</w:t>
      </w:r>
    </w:p>
    <w:p>
      <w:pPr>
        <w:pStyle w:val="Compact"/>
        <w:numPr>
          <w:ilvl w:val="0"/>
          <w:numId w:val="1003"/>
        </w:numPr>
      </w:pPr>
      <w:r>
        <w:t xml:space="preserve">It screens</w:t>
      </w:r>
      <w:r>
        <w:t xml:space="preserve"> </w:t>
      </w:r>
      <w:r>
        <w:rPr>
          <w:b/>
          <w:bCs/>
        </w:rPr>
        <w:t xml:space="preserve">82 files</w:t>
      </w:r>
      <w:r>
        <w:t xml:space="preserve"> </w:t>
      </w:r>
      <w:r>
        <w:t xml:space="preserve">from</w:t>
      </w:r>
      <w:r>
        <w:t xml:space="preserve"> </w:t>
      </w:r>
      <w:r>
        <w:rPr>
          <w:rStyle w:val="VerbatimChar"/>
        </w:rPr>
        <w:t xml:space="preserve">src.zip</w:t>
      </w:r>
      <w:r>
        <w:t xml:space="preserve"> </w:t>
      </w:r>
      <w:r>
        <w:t xml:space="preserve">and maps the real code touchpoints for DAG integration.</w:t>
      </w:r>
    </w:p>
    <w:p>
      <w:pPr>
        <w:pStyle w:val="Compact"/>
        <w:numPr>
          <w:ilvl w:val="0"/>
          <w:numId w:val="1003"/>
        </w:numPr>
      </w:pPr>
      <w:r>
        <w:t xml:space="preserve">It identifies concrete implementation gaps that were not visible from specifications alone.</w:t>
      </w:r>
    </w:p>
    <w:p>
      <w:pPr>
        <w:pStyle w:val="Compact"/>
        <w:numPr>
          <w:ilvl w:val="0"/>
          <w:numId w:val="1003"/>
        </w:numPr>
      </w:pPr>
      <w:r>
        <w:t xml:space="preserve">It adds an explicit source-inventory appendix so the review boundary is visible rather than implied.</w:t>
      </w:r>
    </w:p>
    <w:p>
      <w:pPr>
        <w:pStyle w:val="Compact"/>
        <w:numPr>
          <w:ilvl w:val="0"/>
          <w:numId w:val="1003"/>
        </w:numPr>
      </w:pPr>
      <w:r>
        <w:t xml:space="preserve">It adds more diagrams and a Mermaid-source appendix so the architecture can be reused in GitHub docs and ADRs.</w:t>
      </w:r>
    </w:p>
    <w:p>
      <w:pPr>
        <w:pStyle w:val="FirstParagraph"/>
      </w:pPr>
      <w:r>
        <w:t xml:space="preserve">The highest-value deltas from code review are these:</w:t>
      </w:r>
    </w:p>
    <w:p>
      <w:pPr>
        <w:pStyle w:val="Compact"/>
        <w:numPr>
          <w:ilvl w:val="0"/>
          <w:numId w:val="1004"/>
        </w:numPr>
      </w:pPr>
      <w:r>
        <w:rPr>
          <w:rStyle w:val="VerbatimChar"/>
        </w:rPr>
        <w:t xml:space="preserve">consensus_algorithm.rs</w:t>
      </w:r>
      <w:r>
        <w:t xml:space="preserve"> </w:t>
      </w:r>
      <w:r>
        <w:t xml:space="preserve">is the primary insertion point for a cluster DAG manager, because the current block proposal path still reads directly from</w:t>
      </w:r>
      <w:r>
        <w:t xml:space="preserve"> </w:t>
      </w:r>
      <w:r>
        <w:rPr>
          <w:rStyle w:val="VerbatimChar"/>
        </w:rPr>
        <w:t xml:space="preserve">TX_POOL</w:t>
      </w:r>
      <w:r>
        <w:t xml:space="preserve">.</w:t>
      </w:r>
    </w:p>
    <w:p>
      <w:pPr>
        <w:pStyle w:val="Compact"/>
        <w:numPr>
          <w:ilvl w:val="0"/>
          <w:numId w:val="1004"/>
        </w:numPr>
      </w:pPr>
      <w:r>
        <w:rPr>
          <w:rStyle w:val="VerbatimChar"/>
        </w:rPr>
        <w:t xml:space="preserve">dual_quorum.rs</w:t>
      </w:r>
      <w:r>
        <w:t xml:space="preserve"> </w:t>
      </w:r>
      <w:r>
        <w:t xml:space="preserve">currently</w:t>
      </w:r>
      <w:r>
        <w:t xml:space="preserve"> </w:t>
      </w:r>
      <w:r>
        <w:rPr>
          <w:b/>
          <w:bCs/>
        </w:rPr>
        <w:t xml:space="preserve">synthesizes votes locally</w:t>
      </w:r>
      <w:r>
        <w:t xml:space="preserve"> </w:t>
      </w:r>
      <w:r>
        <w:t xml:space="preserve">by iterating over active validators instead of receiving vote objects over the network. That means the present QC path is partly a</w:t>
      </w:r>
      <w:r>
        <w:t xml:space="preserve"> </w:t>
      </w:r>
      <w:r>
        <w:rPr>
          <w:b/>
          <w:bCs/>
        </w:rPr>
        <w:t xml:space="preserve">local simulation path</w:t>
      </w:r>
      <w:r>
        <w:t xml:space="preserve">, not yet a full networked BFT vote-exchange layer.</w:t>
      </w:r>
    </w:p>
    <w:p>
      <w:pPr>
        <w:pStyle w:val="Compact"/>
        <w:numPr>
          <w:ilvl w:val="0"/>
          <w:numId w:val="1004"/>
        </w:numPr>
      </w:pPr>
      <w:r>
        <w:rPr>
          <w:rStyle w:val="VerbatimChar"/>
        </w:rPr>
        <w:t xml:space="preserve">p2p/messages.rs</w:t>
      </w:r>
      <w:r>
        <w:t xml:space="preserve"> </w:t>
      </w:r>
      <w:r>
        <w:t xml:space="preserve">has only block, transaction, header, body, peer, and status messages. There are</w:t>
      </w:r>
      <w:r>
        <w:t xml:space="preserve"> </w:t>
      </w:r>
      <w:r>
        <w:rPr>
          <w:b/>
          <w:bCs/>
        </w:rPr>
        <w:t xml:space="preserve">no DAG message types yet</w:t>
      </w:r>
      <w:r>
        <w:t xml:space="preserve">.</w:t>
      </w:r>
    </w:p>
    <w:p>
      <w:pPr>
        <w:pStyle w:val="Compact"/>
        <w:numPr>
          <w:ilvl w:val="0"/>
          <w:numId w:val="1004"/>
        </w:numPr>
      </w:pPr>
      <w:r>
        <w:rPr>
          <w:rStyle w:val="VerbatimChar"/>
        </w:rPr>
        <w:t xml:space="preserve">sync/*.rs</w:t>
      </w:r>
      <w:r>
        <w:t xml:space="preserve"> </w:t>
      </w:r>
      <w:r>
        <w:t xml:space="preserve">is strictly</w:t>
      </w:r>
      <w:r>
        <w:t xml:space="preserve"> </w:t>
      </w:r>
      <w:r>
        <w:rPr>
          <w:b/>
          <w:bCs/>
        </w:rPr>
        <w:t xml:space="preserve">linear chain sync</w:t>
      </w:r>
      <w:r>
        <w:t xml:space="preserve">. There is no DAG artifact sync for archive, audit, or DA roles.</w:t>
      </w:r>
    </w:p>
    <w:p>
      <w:pPr>
        <w:pStyle w:val="Compact"/>
        <w:numPr>
          <w:ilvl w:val="0"/>
          <w:numId w:val="1004"/>
        </w:numPr>
      </w:pPr>
      <w:r>
        <w:rPr>
          <w:rStyle w:val="VerbatimChar"/>
        </w:rPr>
        <w:t xml:space="preserve">validator.rs</w:t>
      </w:r>
      <w:r>
        <w:t xml:space="preserve"> </w:t>
      </w:r>
      <w:r>
        <w:t xml:space="preserve">contains a real configuration mismatch: registry default</w:t>
      </w:r>
      <w:r>
        <w:t xml:space="preserve"> </w:t>
      </w:r>
      <w:r>
        <w:rPr>
          <w:rStyle w:val="VerbatimChar"/>
        </w:rPr>
        <w:t xml:space="preserve">cluster_size = 7</w:t>
      </w:r>
      <w:r>
        <w:t xml:space="preserve">, but</w:t>
      </w:r>
      <w:r>
        <w:t xml:space="preserve"> </w:t>
      </w:r>
      <w:r>
        <w:rPr>
          <w:rStyle w:val="VerbatimChar"/>
        </w:rPr>
        <w:t xml:space="preserve">reorganize_clusters()</w:t>
      </w:r>
      <w:r>
        <w:t xml:space="preserve"> </w:t>
      </w:r>
      <w:r>
        <w:t xml:space="preserve">hard-codes</w:t>
      </w:r>
      <w:r>
        <w:t xml:space="preserve"> </w:t>
      </w:r>
      <w:r>
        <w:rPr>
          <w:rStyle w:val="VerbatimChar"/>
        </w:rPr>
        <w:t xml:space="preserve">MAX_CLUSTER_SIZE = 5</w:t>
      </w:r>
      <w:r>
        <w:t xml:space="preserve">. DAG thresholds cannot be implemented cleanly until that mismatch is fixed.</w:t>
      </w:r>
    </w:p>
    <w:p>
      <w:pPr>
        <w:pStyle w:val="Compact"/>
        <w:numPr>
          <w:ilvl w:val="0"/>
          <w:numId w:val="1004"/>
        </w:numPr>
      </w:pPr>
      <w:r>
        <w:rPr>
          <w:rStyle w:val="VerbatimChar"/>
        </w:rPr>
        <w:t xml:space="preserve">EntropyBeacon::generate_epoch_randomness()</w:t>
      </w:r>
      <w:r>
        <w:t xml:space="preserve"> </w:t>
      </w:r>
      <w:r>
        <w:t xml:space="preserve">mixes the previous QC hash with the</w:t>
      </w:r>
      <w:r>
        <w:t xml:space="preserve"> </w:t>
      </w:r>
      <w:r>
        <w:rPr>
          <w:b/>
          <w:bCs/>
        </w:rPr>
        <w:t xml:space="preserve">current wall-clock timestamp</w:t>
      </w:r>
      <w:r>
        <w:t xml:space="preserve">. If each validator derives epoch randomness independently this way, they do not automatically converge on the same randomness. DAG ordering cannot inherit that ambiguity.</w:t>
      </w:r>
    </w:p>
    <w:p>
      <w:pPr>
        <w:pStyle w:val="Compact"/>
        <w:numPr>
          <w:ilvl w:val="0"/>
          <w:numId w:val="1004"/>
        </w:numPr>
      </w:pPr>
      <w:r>
        <w:rPr>
          <w:rStyle w:val="VerbatimChar"/>
        </w:rPr>
        <w:t xml:space="preserve">role_profiles.rs</w:t>
      </w:r>
      <w:r>
        <w:t xml:space="preserve"> </w:t>
      </w:r>
      <w:r>
        <w:t xml:space="preserve">already defines</w:t>
      </w:r>
      <w:r>
        <w:t xml:space="preserve"> </w:t>
      </w:r>
      <w:r>
        <w:rPr>
          <w:b/>
          <w:bCs/>
        </w:rPr>
        <w:t xml:space="preserve">Archive Validator</w:t>
      </w:r>
      <w:r>
        <w:t xml:space="preserve">,</w:t>
      </w:r>
      <w:r>
        <w:t xml:space="preserve"> </w:t>
      </w:r>
      <w:r>
        <w:rPr>
          <w:b/>
          <w:bCs/>
        </w:rPr>
        <w:t xml:space="preserve">Audit Validator</w:t>
      </w:r>
      <w:r>
        <w:t xml:space="preserve">, and</w:t>
      </w:r>
      <w:r>
        <w:t xml:space="preserve"> </w:t>
      </w:r>
      <w:r>
        <w:rPr>
          <w:b/>
          <w:bCs/>
        </w:rPr>
        <w:t xml:space="preserve">Data Availability</w:t>
      </w:r>
      <w:r>
        <w:t xml:space="preserve"> </w:t>
      </w:r>
      <w:r>
        <w:t xml:space="preserve">roles, which is good operational scaffolding—but those roles are still mostly</w:t>
      </w:r>
      <w:r>
        <w:t xml:space="preserve"> </w:t>
      </w:r>
      <w:r>
        <w:rPr>
          <w:b/>
          <w:bCs/>
        </w:rPr>
        <w:t xml:space="preserve">declarative</w:t>
      </w:r>
      <w:r>
        <w:t xml:space="preserve"> </w:t>
      </w:r>
      <w:r>
        <w:t xml:space="preserve">in this bundle, not a finished DAG implementation.</w:t>
      </w:r>
    </w:p>
    <w:bookmarkEnd w:id="25"/>
    <w:bookmarkStart w:id="28" w:name="full-review-scope-and-coverage"/>
    <w:p>
      <w:pPr>
        <w:pStyle w:val="Heading1"/>
      </w:pPr>
      <w:r>
        <w:t xml:space="preserve">Full review scope and coverage</w:t>
      </w:r>
    </w:p>
    <w:p>
      <w:pPr>
        <w:pStyle w:val="FirstParagraph"/>
      </w:pPr>
      <w:r>
        <w:t xml:space="preserve">The goal of this merged report is to reduce blind spots, so the review boundary is explicit.</w:t>
      </w:r>
    </w:p>
    <w:bookmarkStart w:id="26" w:name="source-bundle-coverage-summary"/>
    <w:p>
      <w:pPr>
        <w:pStyle w:val="Heading2"/>
      </w:pPr>
      <w:r>
        <w:t xml:space="preserve">Source bundle coverage summary</w:t>
      </w:r>
    </w:p>
    <w:p>
      <w:pPr>
        <w:pStyle w:val="Compact"/>
        <w:numPr>
          <w:ilvl w:val="0"/>
          <w:numId w:val="1005"/>
        </w:numPr>
      </w:pPr>
      <w:r>
        <w:rPr>
          <w:b/>
          <w:bCs/>
        </w:rPr>
        <w:t xml:space="preserve">Consensus — 8 files.</w:t>
      </w:r>
      <w:r>
        <w:t xml:space="preserve"> </w:t>
      </w:r>
      <w:r>
        <w:t xml:space="preserve">Leader loop, QC, entropy, VRF, governance, synergy score, and cartel logic.</w:t>
      </w:r>
    </w:p>
    <w:p>
      <w:pPr>
        <w:pStyle w:val="Compact"/>
        <w:numPr>
          <w:ilvl w:val="0"/>
          <w:numId w:val="1005"/>
        </w:numPr>
      </w:pPr>
      <w:r>
        <w:rPr>
          <w:b/>
          <w:bCs/>
        </w:rPr>
        <w:t xml:space="preserve">P2P — 4 files.</w:t>
      </w:r>
      <w:r>
        <w:t xml:space="preserve"> </w:t>
      </w:r>
      <w:r>
        <w:t xml:space="preserve">Wire messages, peer discovery, gossip behavior, bootstrap, and allowlists.</w:t>
      </w:r>
    </w:p>
    <w:p>
      <w:pPr>
        <w:pStyle w:val="Compact"/>
        <w:numPr>
          <w:ilvl w:val="0"/>
          <w:numId w:val="1005"/>
        </w:numPr>
      </w:pPr>
      <w:r>
        <w:rPr>
          <w:b/>
          <w:bCs/>
        </w:rPr>
        <w:t xml:space="preserve">Sync — 6 files.</w:t>
      </w:r>
      <w:r>
        <w:t xml:space="preserve"> </w:t>
      </w:r>
      <w:r>
        <w:t xml:space="preserve">Header/body sync today and future DAG artifact sync requirements.</w:t>
      </w:r>
    </w:p>
    <w:p>
      <w:pPr>
        <w:pStyle w:val="Compact"/>
        <w:numPr>
          <w:ilvl w:val="0"/>
          <w:numId w:val="1005"/>
        </w:numPr>
      </w:pPr>
      <w:r>
        <w:rPr>
          <w:b/>
          <w:bCs/>
        </w:rPr>
        <w:t xml:space="preserve">RPC — 3 files.</w:t>
      </w:r>
      <w:r>
        <w:t xml:space="preserve"> </w:t>
      </w:r>
      <w:r>
        <w:t xml:space="preserve">Operator visibility, client semantics, and status surfacing.</w:t>
      </w:r>
    </w:p>
    <w:p>
      <w:pPr>
        <w:pStyle w:val="Compact"/>
        <w:numPr>
          <w:ilvl w:val="0"/>
          <w:numId w:val="1005"/>
        </w:numPr>
      </w:pPr>
      <w:r>
        <w:rPr>
          <w:b/>
          <w:bCs/>
        </w:rPr>
        <w:t xml:space="preserve">Core state — 17 files.</w:t>
      </w:r>
      <w:r>
        <w:t xml:space="preserve"> </w:t>
      </w:r>
      <w:r>
        <w:t xml:space="preserve">Block, transaction, validator, token, wallet, runtime, and config logic.</w:t>
      </w:r>
    </w:p>
    <w:p>
      <w:pPr>
        <w:pStyle w:val="Compact"/>
        <w:numPr>
          <w:ilvl w:val="0"/>
          <w:numId w:val="1005"/>
        </w:numPr>
      </w:pPr>
      <w:r>
        <w:rPr>
          <w:b/>
          <w:bCs/>
        </w:rPr>
        <w:t xml:space="preserve">Role binaries — 20 files.</w:t>
      </w:r>
      <w:r>
        <w:t xml:space="preserve"> </w:t>
      </w:r>
      <w:r>
        <w:t xml:space="preserve">Validator, archive, audit, DA, gateway, relayer, observer, and specialist node entrypoints.</w:t>
      </w:r>
    </w:p>
    <w:p>
      <w:pPr>
        <w:pStyle w:val="Compact"/>
        <w:numPr>
          <w:ilvl w:val="0"/>
          <w:numId w:val="1005"/>
        </w:numPr>
      </w:pPr>
      <w:r>
        <w:rPr>
          <w:b/>
          <w:bCs/>
        </w:rPr>
        <w:t xml:space="preserve">Adjunct modules — 23 files.</w:t>
      </w:r>
      <w:r>
        <w:t xml:space="preserve"> </w:t>
      </w:r>
      <w:r>
        <w:t xml:space="preserve">Cross-chain, execution, PQC, address, relayer, and DA-adjacent patterns screened for indirect DAG implications.</w:t>
      </w:r>
    </w:p>
    <w:p>
      <w:pPr>
        <w:pStyle w:val="FirstParagraph"/>
      </w:pPr>
      <w:r>
        <w:t xml:space="preserve">The full</w:t>
      </w:r>
      <w:r>
        <w:t xml:space="preserve"> </w:t>
      </w:r>
      <w:r>
        <w:rPr>
          <w:rStyle w:val="VerbatimChar"/>
        </w:rPr>
        <w:t xml:space="preserve">src.zip</w:t>
      </w:r>
      <w:r>
        <w:t xml:space="preserve"> </w:t>
      </w:r>
      <w:r>
        <w:t xml:space="preserve">inventory was screened. The files with direct DAG impact were reviewed in depth; adjunct files were screened for indirect implications, rollout topology, cross-chain checkpointing patterns, encryption patterns, and role boundaries.</w:t>
      </w:r>
    </w:p>
    <w:bookmarkEnd w:id="26"/>
    <w:bookmarkStart w:id="27" w:name="uploaded-document-corpus-coverage"/>
    <w:p>
      <w:pPr>
        <w:pStyle w:val="Heading2"/>
      </w:pPr>
      <w:r>
        <w:t xml:space="preserve">Uploaded document corpus coverage</w:t>
      </w:r>
    </w:p>
    <w:p>
      <w:pPr>
        <w:pStyle w:val="FirstParagraph"/>
      </w:pPr>
      <w:r>
        <w:t xml:space="preserve">The merge also uses the uploaded Synergy protocol and whitepaper corpus, including the consensus, roadmap, security, naming, configuration, wallet, node, rewards, and appendices material. Duplicate copies across separate uploads and the whitepaper zip were deduplicated conceptually during review.</w:t>
      </w:r>
    </w:p>
    <w:p>
      <w:pPr>
        <w:pStyle w:val="BodyText"/>
      </w:pPr>
      <w:r>
        <w:t xml:space="preserve">The only non-content files intentionally ignored were bundle noise such as</w:t>
      </w:r>
      <w:r>
        <w:t xml:space="preserve"> </w:t>
      </w:r>
      <w:r>
        <w:rPr>
          <w:rStyle w:val="VerbatimChar"/>
        </w:rPr>
        <w:t xml:space="preserve">.venv</w:t>
      </w:r>
      <w:r>
        <w:t xml:space="preserve">,</w:t>
      </w:r>
      <w:r>
        <w:t xml:space="preserve"> </w:t>
      </w:r>
      <w:r>
        <w:rPr>
          <w:rStyle w:val="VerbatimChar"/>
        </w:rPr>
        <w:t xml:space="preserve">.DS_Store</w:t>
      </w:r>
      <w:r>
        <w:t xml:space="preserve">, and</w:t>
      </w:r>
      <w:r>
        <w:t xml:space="preserve"> </w:t>
      </w:r>
      <w:r>
        <w:rPr>
          <w:rStyle w:val="VerbatimChar"/>
        </w:rPr>
        <w:t xml:space="preserve">__MACOSX</w:t>
      </w:r>
      <w:r>
        <w:t xml:space="preserve"> </w:t>
      </w:r>
      <w:r>
        <w:t xml:space="preserve">artifacts.</w:t>
      </w:r>
    </w:p>
    <w:bookmarkEnd w:id="27"/>
    <w:bookmarkEnd w:id="28"/>
    <w:bookmarkStart w:id="38" w:name="Xc7919df203a7d68899fb98ee728d3beeca2eb58"/>
    <w:p>
      <w:pPr>
        <w:pStyle w:val="Heading1"/>
      </w:pPr>
      <w:r>
        <w:t xml:space="preserve">Current implementation reality from the source tree</w:t>
      </w:r>
    </w:p>
    <w:bookmarkStart w:id="29" w:name="Xa53c52f9b2d71dacd896eb39fd604160aadb67b"/>
    <w:p>
      <w:pPr>
        <w:pStyle w:val="Heading2"/>
      </w:pPr>
      <w:r>
        <w:t xml:space="preserve">Consensus engine: where DAG actually plugs in</w:t>
      </w:r>
    </w:p>
    <w:p>
      <w:pPr>
        <w:pStyle w:val="FirstParagraph"/>
      </w:pPr>
      <w:r>
        <w:rPr>
          <w:rStyle w:val="VerbatimChar"/>
        </w:rPr>
        <w:t xml:space="preserve">src/consensus/consensus_algorithm.rs</w:t>
      </w:r>
      <w:r>
        <w:t xml:space="preserve"> </w:t>
      </w:r>
      <w:r>
        <w:t xml:space="preserve">is the main runtime spine. It loads the shared chain and validator registry, derives timing and validator thresholds from config and environment, chooses a leader, validates pending transactions, builds a block proposal, executes the dual-quorum path, applies token state changes, distributes cluster rewards, updates synergy scores, and handles epoch transitions.</w:t>
      </w:r>
    </w:p>
    <w:p>
      <w:pPr>
        <w:pStyle w:val="BodyText"/>
      </w:pPr>
      <w:r>
        <w:t xml:space="preserve">That makes it the correct place to add a</w:t>
      </w:r>
      <w:r>
        <w:t xml:space="preserve"> </w:t>
      </w:r>
      <w:r>
        <w:rPr>
          <w:rStyle w:val="VerbatimChar"/>
        </w:rPr>
        <w:t xml:space="preserve">ClusterDagEngine</w:t>
      </w:r>
      <w:r>
        <w:t xml:space="preserve"> </w:t>
      </w:r>
      <w:r>
        <w:t xml:space="preserve">or equivalent. The new subsystem should sit</w:t>
      </w:r>
      <w:r>
        <w:t xml:space="preserve"> </w:t>
      </w:r>
      <w:r>
        <w:rPr>
          <w:b/>
          <w:bCs/>
        </w:rPr>
        <w:t xml:space="preserve">between</w:t>
      </w:r>
      <w:r>
        <w:t xml:space="preserve"> </w:t>
      </w:r>
      <w:r>
        <w:t xml:space="preserve">transaction ingress and block proposal creation. In other words, the proposer should stop building from the flat mempool and instead build from a deterministic certified frontier generated by the cluster DAG.</w:t>
      </w:r>
    </w:p>
    <w:p>
      <w:pPr>
        <w:pStyle w:val="BodyText"/>
      </w:pPr>
      <w:r>
        <w:t xml:space="preserve">Two current behaviors matter immediately:</w:t>
      </w:r>
    </w:p>
    <w:p>
      <w:pPr>
        <w:pStyle w:val="Compact"/>
        <w:numPr>
          <w:ilvl w:val="0"/>
          <w:numId w:val="1006"/>
        </w:numPr>
      </w:pPr>
      <w:r>
        <w:t xml:space="preserve">the runtime clears the transaction pool wholesale after a successful block commit, which is too coarse for DAG batching and receipt-based retirement;</w:t>
      </w:r>
    </w:p>
    <w:p>
      <w:pPr>
        <w:pStyle w:val="Compact"/>
        <w:numPr>
          <w:ilvl w:val="0"/>
          <w:numId w:val="1006"/>
        </w:numPr>
      </w:pPr>
      <w:r>
        <w:t xml:space="preserve">transaction validation currently allows a best-effort path where signature verification is skipped if the sender public key is not known locally.</w:t>
      </w:r>
    </w:p>
    <w:p>
      <w:pPr>
        <w:pStyle w:val="FirstParagraph"/>
      </w:pPr>
      <w:r>
        <w:t xml:space="preserve">That second behavior may be tolerable for testnet wallet UX; it is</w:t>
      </w:r>
      <w:r>
        <w:t xml:space="preserve"> </w:t>
      </w:r>
      <w:r>
        <w:rPr>
          <w:b/>
          <w:bCs/>
        </w:rPr>
        <w:t xml:space="preserve">not</w:t>
      </w:r>
      <w:r>
        <w:t xml:space="preserve"> </w:t>
      </w:r>
      <w:r>
        <w:t xml:space="preserve">tolerable for DAG author messages, availability receipts, or certificates. Every DAG-control artifact must have strict author authentication.</w:t>
      </w:r>
    </w:p>
    <w:bookmarkEnd w:id="29"/>
    <w:bookmarkStart w:id="30" w:name="X459f5780e7d7427a41cb63903cf30efeeba436b"/>
    <w:p>
      <w:pPr>
        <w:pStyle w:val="Heading2"/>
      </w:pPr>
      <w:r>
        <w:t xml:space="preserve">Dual quorum and entropy: finality path stays, but needs hardening</w:t>
      </w:r>
    </w:p>
    <w:p>
      <w:pPr>
        <w:pStyle w:val="FirstParagraph"/>
      </w:pPr>
      <w:r>
        <w:rPr>
          <w:rStyle w:val="VerbatimChar"/>
        </w:rPr>
        <w:t xml:space="preserve">src/consensus/dual_quorum.rs</w:t>
      </w:r>
      <w:r>
        <w:t xml:space="preserve"> </w:t>
      </w:r>
      <w:r>
        <w:t xml:space="preserve">validates the block proposal, calls</w:t>
      </w:r>
      <w:r>
        <w:t xml:space="preserve"> </w:t>
      </w:r>
      <w:r>
        <w:rPr>
          <w:rStyle w:val="VerbatimChar"/>
        </w:rPr>
        <w:t xml:space="preserve">collect_votes()</w:t>
      </w:r>
      <w:r>
        <w:t xml:space="preserve">, computes validation and cooperation quorums, and emits a</w:t>
      </w:r>
      <w:r>
        <w:t xml:space="preserve"> </w:t>
      </w:r>
      <w:r>
        <w:rPr>
          <w:rStyle w:val="VerbatimChar"/>
        </w:rPr>
        <w:t xml:space="preserve">QuorumCertificate</w:t>
      </w:r>
      <w:r>
        <w:t xml:space="preserve">. The structure is useful for a hybrid DAG design because it already separates proposal validation from final commitment.</w:t>
      </w:r>
    </w:p>
    <w:p>
      <w:pPr>
        <w:pStyle w:val="BodyText"/>
      </w:pPr>
      <w:r>
        <w:t xml:space="preserve">But the source also exposes a major implementation reality:</w:t>
      </w:r>
      <w:r>
        <w:t xml:space="preserve"> </w:t>
      </w:r>
      <w:r>
        <w:rPr>
          <w:rStyle w:val="VerbatimChar"/>
        </w:rPr>
        <w:t xml:space="preserve">collect_votes()</w:t>
      </w:r>
      <w:r>
        <w:t xml:space="preserve"> </w:t>
      </w:r>
      <w:r>
        <w:t xml:space="preserve">currently loops over active validators and</w:t>
      </w:r>
      <w:r>
        <w:t xml:space="preserve"> </w:t>
      </w:r>
      <w:r>
        <w:rPr>
          <w:b/>
          <w:bCs/>
        </w:rPr>
        <w:t xml:space="preserve">creates votes locally</w:t>
      </w:r>
      <w:r>
        <w:t xml:space="preserve">. That means the current QC path is not yet a networked exchange of validator vote objects. The hybrid DAG rollout should therefore avoid piling new security assumptions on top of this local simulation path. The safer sequence is:</w:t>
      </w:r>
    </w:p>
    <w:p>
      <w:pPr>
        <w:pStyle w:val="Compact"/>
        <w:numPr>
          <w:ilvl w:val="0"/>
          <w:numId w:val="1007"/>
        </w:numPr>
      </w:pPr>
      <w:r>
        <w:t xml:space="preserve">add the DAG dissemination and availability layer;</w:t>
      </w:r>
    </w:p>
    <w:p>
      <w:pPr>
        <w:pStyle w:val="Compact"/>
        <w:numPr>
          <w:ilvl w:val="0"/>
          <w:numId w:val="1007"/>
        </w:numPr>
      </w:pPr>
      <w:r>
        <w:t xml:space="preserve">add deterministic ordering-cut verification;</w:t>
      </w:r>
    </w:p>
    <w:p>
      <w:pPr>
        <w:pStyle w:val="Compact"/>
        <w:numPr>
          <w:ilvl w:val="0"/>
          <w:numId w:val="1007"/>
        </w:numPr>
      </w:pPr>
      <w:r>
        <w:t xml:space="preserve">then tighten the networked vote/certificate path if needed.</w:t>
      </w:r>
    </w:p>
    <w:p>
      <w:pPr>
        <w:pStyle w:val="FirstParagraph"/>
      </w:pPr>
      <w:r>
        <w:t xml:space="preserve">Entropy also needs canonicalization.</w:t>
      </w:r>
      <w:r>
        <w:t xml:space="preserve"> </w:t>
      </w:r>
      <w:r>
        <w:rPr>
          <w:rStyle w:val="VerbatimChar"/>
        </w:rPr>
        <w:t xml:space="preserve">EntropyBeacon::generate_epoch_randomness()</w:t>
      </w:r>
      <w:r>
        <w:t xml:space="preserve"> </w:t>
      </w:r>
      <w:r>
        <w:t xml:space="preserve">hashes the previous QC plus a locally generated ML-KEM secret</w:t>
      </w:r>
      <w:r>
        <w:t xml:space="preserve"> </w:t>
      </w:r>
      <w:r>
        <w:rPr>
          <w:b/>
          <w:bCs/>
        </w:rPr>
        <w:t xml:space="preserve">and the current timestamp</w:t>
      </w:r>
      <w:r>
        <w:t xml:space="preserve">. Unless there is an external protocol step ensuring identical input material across validators, that is not a safe long-term randomness primitive for shared DAG ordering or shared parent selection.</w:t>
      </w:r>
    </w:p>
    <w:bookmarkEnd w:id="30"/>
    <w:bookmarkStart w:id="31" w:name="X6a53355e88cf3702e7aec30d2086e87f6be6f6f"/>
    <w:p>
      <w:pPr>
        <w:pStyle w:val="Heading2"/>
      </w:pPr>
      <w:r>
        <w:t xml:space="preserve">Validator clustering, synergy score, and cartel logic</w:t>
      </w:r>
    </w:p>
    <w:p>
      <w:pPr>
        <w:pStyle w:val="FirstParagraph"/>
      </w:pPr>
      <w:r>
        <w:rPr>
          <w:rStyle w:val="VerbatimChar"/>
        </w:rPr>
        <w:t xml:space="preserve">src/validator.rs</w:t>
      </w:r>
      <w:r>
        <w:t xml:space="preserve"> </w:t>
      </w:r>
      <w:r>
        <w:t xml:space="preserve">and</w:t>
      </w:r>
      <w:r>
        <w:t xml:space="preserve"> </w:t>
      </w:r>
      <w:r>
        <w:rPr>
          <w:rStyle w:val="VerbatimChar"/>
        </w:rPr>
        <w:t xml:space="preserve">src/consensus/synergy_score.rs</w:t>
      </w:r>
      <w:r>
        <w:t xml:space="preserve"> </w:t>
      </w:r>
      <w:r>
        <w:t xml:space="preserve">confirm that PoSy is already cluster-centric in implementation, not only in prose. Validators are tracked with stake, reputation, performance, synergy score, and cluster membership. Rewards are then distributed cluster-first in</w:t>
      </w:r>
      <w:r>
        <w:t xml:space="preserve"> </w:t>
      </w:r>
      <w:r>
        <w:rPr>
          <w:rStyle w:val="VerbatimChar"/>
        </w:rPr>
        <w:t xml:space="preserve">src/token.rs</w:t>
      </w:r>
      <w:r>
        <w:t xml:space="preserve"> </w:t>
      </w:r>
      <w:r>
        <w:t xml:space="preserve">using normalized synergy score.</w:t>
      </w:r>
    </w:p>
    <w:p>
      <w:pPr>
        <w:pStyle w:val="BodyText"/>
      </w:pPr>
      <w:r>
        <w:t xml:space="preserve">That is an excellent fit for a cluster-local DAG, because it means the architecture already treats the cluster as a meaningful accountability and reward boundary.</w:t>
      </w:r>
    </w:p>
    <w:p>
      <w:pPr>
        <w:pStyle w:val="BodyText"/>
      </w:pPr>
      <w:r>
        <w:t xml:space="preserve">The bad news is that current cluster math is inconsistent:</w:t>
      </w:r>
    </w:p>
    <w:p>
      <w:pPr>
        <w:pStyle w:val="Compact"/>
        <w:numPr>
          <w:ilvl w:val="0"/>
          <w:numId w:val="1008"/>
        </w:numPr>
      </w:pPr>
      <w:r>
        <w:t xml:space="preserve">the registry default sets</w:t>
      </w:r>
      <w:r>
        <w:t xml:space="preserve"> </w:t>
      </w:r>
      <w:r>
        <w:rPr>
          <w:rStyle w:val="VerbatimChar"/>
        </w:rPr>
        <w:t xml:space="preserve">cluster_size = 7</w:t>
      </w:r>
      <w:r>
        <w:t xml:space="preserve">;</w:t>
      </w:r>
    </w:p>
    <w:p>
      <w:pPr>
        <w:pStyle w:val="Compact"/>
        <w:numPr>
          <w:ilvl w:val="0"/>
          <w:numId w:val="1008"/>
        </w:numPr>
      </w:pPr>
      <w:r>
        <w:t xml:space="preserve">the config default also sets</w:t>
      </w:r>
      <w:r>
        <w:t xml:space="preserve"> </w:t>
      </w:r>
      <w:r>
        <w:rPr>
          <w:rStyle w:val="VerbatimChar"/>
        </w:rPr>
        <w:t xml:space="preserve">validator_cluster_size = 7</w:t>
      </w:r>
      <w:r>
        <w:t xml:space="preserve">;</w:t>
      </w:r>
    </w:p>
    <w:p>
      <w:pPr>
        <w:pStyle w:val="Compact"/>
        <w:numPr>
          <w:ilvl w:val="0"/>
          <w:numId w:val="1008"/>
        </w:numPr>
      </w:pPr>
      <w:r>
        <w:t xml:space="preserve">but</w:t>
      </w:r>
      <w:r>
        <w:t xml:space="preserve"> </w:t>
      </w:r>
      <w:r>
        <w:rPr>
          <w:rStyle w:val="VerbatimChar"/>
        </w:rPr>
        <w:t xml:space="preserve">reorganize_clusters()</w:t>
      </w:r>
      <w:r>
        <w:t xml:space="preserve"> </w:t>
      </w:r>
      <w:r>
        <w:t xml:space="preserve">hard-codes</w:t>
      </w:r>
      <w:r>
        <w:t xml:space="preserve"> </w:t>
      </w:r>
      <w:r>
        <w:rPr>
          <w:rStyle w:val="VerbatimChar"/>
        </w:rPr>
        <w:t xml:space="preserve">MAX_CLUSTER_SIZE = 5</w:t>
      </w:r>
      <w:r>
        <w:t xml:space="preserve">.</w:t>
      </w:r>
    </w:p>
    <w:p>
      <w:pPr>
        <w:pStyle w:val="FirstParagraph"/>
      </w:pPr>
      <w:r>
        <w:t xml:space="preserve">You cannot safely define DAG receipt thresholds, parent-diversity policies, censorship monitors, or equivocation windows until that is canonicalized.</w:t>
      </w:r>
    </w:p>
    <w:p>
      <w:pPr>
        <w:pStyle w:val="BodyText"/>
      </w:pPr>
      <w:r>
        <w:t xml:space="preserve">The cartel-detection path also needs work before it can secure a DAG rollout.</w:t>
      </w:r>
      <w:r>
        <w:t xml:space="preserve"> </w:t>
      </w:r>
      <w:r>
        <w:rPr>
          <w:rStyle w:val="VerbatimChar"/>
        </w:rPr>
        <w:t xml:space="preserve">CartelDetectionEngine</w:t>
      </w:r>
      <w:r>
        <w:t xml:space="preserve"> </w:t>
      </w:r>
      <w:r>
        <w:t xml:space="preserve">uses a</w:t>
      </w:r>
      <w:r>
        <w:t xml:space="preserve"> </w:t>
      </w:r>
      <w:r>
        <w:rPr>
          <w:rStyle w:val="VerbatimChar"/>
        </w:rPr>
        <w:t xml:space="preserve">cartel_size_threshold</w:t>
      </w:r>
      <w:r>
        <w:t xml:space="preserve"> </w:t>
      </w:r>
      <w:r>
        <w:t xml:space="preserve">of</w:t>
      </w:r>
      <w:r>
        <w:t xml:space="preserve"> </w:t>
      </w:r>
      <w:r>
        <w:rPr>
          <w:rStyle w:val="VerbatimChar"/>
        </w:rPr>
        <w:t xml:space="preserve">10</w:t>
      </w:r>
      <w:r>
        <w:t xml:space="preserve">, which is already larger than the current beta cluster size. And</w:t>
      </w:r>
      <w:r>
        <w:t xml:space="preserve"> </w:t>
      </w:r>
      <w:r>
        <w:rPr>
          <w:rStyle w:val="VerbatimChar"/>
        </w:rPr>
        <w:t xml:space="preserve">record_vote_for_cartel_detection()</w:t>
      </w:r>
      <w:r>
        <w:t xml:space="preserve"> </w:t>
      </w:r>
      <w:r>
        <w:t xml:space="preserve">is only invoked from the consensus path in a way that records a very limited slice of behavior. For DAG collusion, censorship, and parent omission, Synergy will need</w:t>
      </w:r>
      <w:r>
        <w:t xml:space="preserve"> </w:t>
      </w:r>
      <w:r>
        <w:rPr>
          <w:b/>
          <w:bCs/>
        </w:rPr>
        <w:t xml:space="preserve">actual DAG evidence capture</w:t>
      </w:r>
      <w:r>
        <w:t xml:space="preserve">, not just a thin after-the-fact proposer success signal.</w:t>
      </w:r>
    </w:p>
    <w:bookmarkEnd w:id="31"/>
    <w:bookmarkStart w:id="32" w:name="X1d2ff6de43aa2649ea344fde205854e1f8f406d"/>
    <w:p>
      <w:pPr>
        <w:pStyle w:val="Heading2"/>
      </w:pPr>
      <w:r>
        <w:t xml:space="preserve">P2P and sync: ready for extension, not ready out of the box</w:t>
      </w:r>
    </w:p>
    <w:p>
      <w:pPr>
        <w:pStyle w:val="FirstParagraph"/>
      </w:pPr>
      <w:r>
        <w:rPr>
          <w:rStyle w:val="VerbatimChar"/>
        </w:rPr>
        <w:t xml:space="preserve">src/p2p/messages.rs</w:t>
      </w:r>
      <w:r>
        <w:t xml:space="preserve"> </w:t>
      </w:r>
      <w:r>
        <w:t xml:space="preserve">is still a small linear-chain schema:</w:t>
      </w:r>
    </w:p>
    <w:p>
      <w:pPr>
        <w:pStyle w:val="Compact"/>
        <w:numPr>
          <w:ilvl w:val="0"/>
          <w:numId w:val="1009"/>
        </w:numPr>
      </w:pPr>
      <w:r>
        <w:t xml:space="preserve">handshake</w:t>
      </w:r>
    </w:p>
    <w:p>
      <w:pPr>
        <w:pStyle w:val="Compact"/>
        <w:numPr>
          <w:ilvl w:val="0"/>
          <w:numId w:val="1009"/>
        </w:numPr>
      </w:pPr>
      <w:r>
        <w:t xml:space="preserve">block / transaction</w:t>
      </w:r>
    </w:p>
    <w:p>
      <w:pPr>
        <w:pStyle w:val="Compact"/>
        <w:numPr>
          <w:ilvl w:val="0"/>
          <w:numId w:val="1009"/>
        </w:numPr>
      </w:pPr>
      <w:r>
        <w:t xml:space="preserve">get blocks / blocks</w:t>
      </w:r>
    </w:p>
    <w:p>
      <w:pPr>
        <w:pStyle w:val="Compact"/>
        <w:numPr>
          <w:ilvl w:val="0"/>
          <w:numId w:val="1009"/>
        </w:numPr>
      </w:pPr>
      <w:r>
        <w:t xml:space="preserve">get block headers / bodies</w:t>
      </w:r>
    </w:p>
    <w:p>
      <w:pPr>
        <w:pStyle w:val="Compact"/>
        <w:numPr>
          <w:ilvl w:val="0"/>
          <w:numId w:val="1009"/>
        </w:numPr>
      </w:pPr>
      <w:r>
        <w:t xml:space="preserve">peers / ping / status</w:t>
      </w:r>
    </w:p>
    <w:p>
      <w:pPr>
        <w:pStyle w:val="FirstParagraph"/>
      </w:pPr>
      <w:r>
        <w:t xml:space="preserve">There are no vertex, receipt, certificate, ordering-cut, batch-fetch, checkpoint, or evidence messages.</w:t>
      </w:r>
    </w:p>
    <w:p>
      <w:pPr>
        <w:pStyle w:val="BodyText"/>
      </w:pPr>
      <w:r>
        <w:t xml:space="preserve">That said, the existing P2P stack gives the DAG rollout some useful hooks. The handshake already carries a</w:t>
      </w:r>
      <w:r>
        <w:t xml:space="preserve"> </w:t>
      </w:r>
      <w:r>
        <w:rPr>
          <w:rStyle w:val="VerbatimChar"/>
        </w:rPr>
        <w:t xml:space="preserve">capabilities</w:t>
      </w:r>
      <w:r>
        <w:t xml:space="preserve"> </w:t>
      </w:r>
      <w:r>
        <w:t xml:space="preserve">vector and an optional</w:t>
      </w:r>
      <w:r>
        <w:t xml:space="preserve"> </w:t>
      </w:r>
      <w:r>
        <w:rPr>
          <w:rStyle w:val="VerbatimChar"/>
        </w:rPr>
        <w:t xml:space="preserve">validator_address</w:t>
      </w:r>
      <w:r>
        <w:t xml:space="preserve">, and</w:t>
      </w:r>
      <w:r>
        <w:t xml:space="preserve"> </w:t>
      </w:r>
      <w:r>
        <w:rPr>
          <w:rStyle w:val="VerbatimChar"/>
        </w:rPr>
        <w:t xml:space="preserve">p2p/networking.rs</w:t>
      </w:r>
      <w:r>
        <w:t xml:space="preserve"> </w:t>
      </w:r>
      <w:r>
        <w:t xml:space="preserve">already has strict-validator allowlisting, bootstrap-only mode, seed servers, DNS bootstrap, and peer status collection. In practical terms, DAG rollout can use</w:t>
      </w:r>
      <w:r>
        <w:t xml:space="preserve"> </w:t>
      </w:r>
      <w:r>
        <w:rPr>
          <w:b/>
          <w:bCs/>
        </w:rPr>
        <w:t xml:space="preserve">capability negotiation and existing trust boundaries</w:t>
      </w:r>
      <w:r>
        <w:t xml:space="preserve"> </w:t>
      </w:r>
      <w:r>
        <w:t xml:space="preserve">rather than exposing a new public attack surface.</w:t>
      </w:r>
    </w:p>
    <w:p>
      <w:pPr>
        <w:pStyle w:val="BodyText"/>
      </w:pPr>
      <w:r>
        <w:t xml:space="preserve">The sync subsystem is also explicitly chain-shaped.</w:t>
      </w:r>
      <w:r>
        <w:t xml:space="preserve"> </w:t>
      </w:r>
      <w:r>
        <w:rPr>
          <w:rStyle w:val="VerbatimChar"/>
        </w:rPr>
        <w:t xml:space="preserve">src/sync/manager.rs</w:t>
      </w:r>
      <w:r>
        <w:t xml:space="preserve">,</w:t>
      </w:r>
      <w:r>
        <w:t xml:space="preserve"> </w:t>
      </w:r>
      <w:r>
        <w:rPr>
          <w:rStyle w:val="VerbatimChar"/>
        </w:rPr>
        <w:t xml:space="preserve">full_sync.rs</w:t>
      </w:r>
      <w:r>
        <w:t xml:space="preserve">,</w:t>
      </w:r>
      <w:r>
        <w:t xml:space="preserve"> </w:t>
      </w:r>
      <w:r>
        <w:rPr>
          <w:rStyle w:val="VerbatimChar"/>
        </w:rPr>
        <w:t xml:space="preserve">fast_sync.rs</w:t>
      </w:r>
      <w:r>
        <w:t xml:space="preserve">, and</w:t>
      </w:r>
      <w:r>
        <w:t xml:space="preserve"> </w:t>
      </w:r>
      <w:r>
        <w:rPr>
          <w:rStyle w:val="VerbatimChar"/>
        </w:rPr>
        <w:t xml:space="preserve">validation.rs</w:t>
      </w:r>
      <w:r>
        <w:t xml:space="preserve"> </w:t>
      </w:r>
      <w:r>
        <w:t xml:space="preserve">are built around block heights, headers, bodies, and transaction-root verification. That is fine for the finalized chain, but it means a DAG rollout needs a</w:t>
      </w:r>
      <w:r>
        <w:t xml:space="preserve"> </w:t>
      </w:r>
      <w:r>
        <w:rPr>
          <w:b/>
          <w:bCs/>
        </w:rPr>
        <w:t xml:space="preserve">parallel artifact-sync path</w:t>
      </w:r>
      <w:r>
        <w:t xml:space="preserve"> </w:t>
      </w:r>
      <w:r>
        <w:t xml:space="preserve">for archive, audit, and DA roles.</w:t>
      </w:r>
    </w:p>
    <w:bookmarkEnd w:id="32"/>
    <w:bookmarkStart w:id="36" w:name="block-transaction-rpc-and-role-surfaces"/>
    <w:p>
      <w:pPr>
        <w:pStyle w:val="Heading2"/>
      </w:pPr>
      <w:r>
        <w:t xml:space="preserve">Block, transaction, RPC, and role surfaces</w:t>
      </w:r>
    </w:p>
    <w:p>
      <w:pPr>
        <w:pStyle w:val="FirstParagraph"/>
      </w:pPr>
      <w:r>
        <w:rPr>
          <w:rStyle w:val="VerbatimChar"/>
        </w:rPr>
        <w:t xml:space="preserve">src/block.rs</w:t>
      </w:r>
      <w:r>
        <w:t xml:space="preserve"> </w:t>
      </w:r>
      <w:r>
        <w:t xml:space="preserve">confirms that block headers currently commit to block index, parent hash, validator ID, nonce, timestamp, and</w:t>
      </w:r>
      <w:r>
        <w:t xml:space="preserve"> </w:t>
      </w:r>
      <w:r>
        <w:rPr>
          <w:rStyle w:val="VerbatimChar"/>
        </w:rPr>
        <w:t xml:space="preserve">transactions_root</w:t>
      </w:r>
      <w:r>
        <w:t xml:space="preserve">. There is no field yet for:</w:t>
      </w:r>
    </w:p>
    <w:p>
      <w:pPr>
        <w:pStyle w:val="Compact"/>
        <w:numPr>
          <w:ilvl w:val="0"/>
          <w:numId w:val="1010"/>
        </w:numPr>
      </w:pPr>
      <w:r>
        <w:t xml:space="preserve">ordering-cut root;</w:t>
      </w:r>
    </w:p>
    <w:p>
      <w:pPr>
        <w:pStyle w:val="Compact"/>
        <w:numPr>
          <w:ilvl w:val="0"/>
          <w:numId w:val="1010"/>
        </w:numPr>
      </w:pPr>
      <w:r>
        <w:t xml:space="preserve">availability root;</w:t>
      </w:r>
    </w:p>
    <w:p>
      <w:pPr>
        <w:pStyle w:val="Compact"/>
        <w:numPr>
          <w:ilvl w:val="0"/>
          <w:numId w:val="1010"/>
        </w:numPr>
      </w:pPr>
      <w:r>
        <w:t xml:space="preserve">certified frontier root;</w:t>
      </w:r>
    </w:p>
    <w:p>
      <w:pPr>
        <w:pStyle w:val="Compact"/>
        <w:numPr>
          <w:ilvl w:val="0"/>
          <w:numId w:val="1010"/>
        </w:numPr>
      </w:pPr>
      <w:r>
        <w:t xml:space="preserve">batch/blob commitment root.</w:t>
      </w:r>
    </w:p>
    <w:p>
      <w:pPr>
        <w:pStyle w:val="FirstParagraph"/>
      </w:pPr>
      <w:r>
        <w:t xml:space="preserve">Those additions need to be introduced carefully because they affect block hashing, block verification, explorer/indexer assumptions, and sync validation.</w:t>
      </w:r>
    </w:p>
    <w:p>
      <w:pPr>
        <w:pStyle w:val="BodyText"/>
      </w:pPr>
      <w:r>
        <w:rPr>
          <w:rStyle w:val="VerbatimChar"/>
        </w:rPr>
        <w:t xml:space="preserve">src/transaction.rs</w:t>
      </w:r>
      <w:r>
        <w:t xml:space="preserve"> </w:t>
      </w:r>
      <w:r>
        <w:t xml:space="preserve">is a straightforward signed transaction object. It does not yet model encrypted DAG batches or blob references, so the DAG rollout should add a</w:t>
      </w:r>
      <w:r>
        <w:t xml:space="preserve"> </w:t>
      </w:r>
      <w:r>
        <w:rPr>
          <w:b/>
          <w:bCs/>
        </w:rPr>
        <w:t xml:space="preserve">batch layer</w:t>
      </w:r>
      <w:r>
        <w:t xml:space="preserve"> </w:t>
      </w:r>
      <w:r>
        <w:t xml:space="preserve">rather than overloading the base transaction object itself.</w:t>
      </w:r>
    </w:p>
    <w:p>
      <w:pPr>
        <w:pStyle w:val="BodyText"/>
      </w:pPr>
      <w:r>
        <w:rPr>
          <w:rStyle w:val="VerbatimChar"/>
        </w:rPr>
        <w:t xml:space="preserve">src/rpc/rpc_server.rs</w:t>
      </w:r>
      <w:r>
        <w:t xml:space="preserve"> </w:t>
      </w:r>
      <w:r>
        <w:t xml:space="preserve">already exposes transaction pool, validator activity, and block-validation status. That is useful because it provides a natural place to add DAG diagnostics. But it currently conflates</w:t>
      </w:r>
      <w:r>
        <w:t xml:space="preserve"> </w:t>
      </w:r>
      <w:r>
        <w:t xml:space="preserve">“</w:t>
      </w:r>
      <w:r>
        <w:t xml:space="preserve">pending pool</w:t>
      </w:r>
      <w:r>
        <w:t xml:space="preserve">”</w:t>
      </w:r>
      <w:r>
        <w:t xml:space="preserve"> </w:t>
      </w:r>
      <w:r>
        <w:t xml:space="preserve">semantics with a plaintext mempool. That will need to change once DAG ingress uses encrypted batches and staged acceptance states.</w:t>
      </w:r>
    </w:p>
    <w:p>
      <w:pPr>
        <w:pStyle w:val="BodyText"/>
      </w:pPr>
      <w:r>
        <w:t xml:space="preserve">Finally,</w:t>
      </w:r>
      <w:r>
        <w:t xml:space="preserve"> </w:t>
      </w:r>
      <w:r>
        <w:rPr>
          <w:rStyle w:val="VerbatimChar"/>
        </w:rPr>
        <w:t xml:space="preserve">src/role_profiles.rs</w:t>
      </w:r>
      <w:r>
        <w:t xml:space="preserve"> </w:t>
      </w:r>
      <w:r>
        <w:t xml:space="preserve">is more helpful than it first looks. The bundle already declares profiles for:</w:t>
      </w:r>
    </w:p>
    <w:p>
      <w:pPr>
        <w:pStyle w:val="Compact"/>
        <w:numPr>
          <w:ilvl w:val="0"/>
          <w:numId w:val="1011"/>
        </w:numPr>
      </w:pPr>
      <w:r>
        <w:rPr>
          <w:rStyle w:val="VerbatimChar"/>
        </w:rPr>
        <w:t xml:space="preserve">validator</w:t>
      </w:r>
    </w:p>
    <w:p>
      <w:pPr>
        <w:pStyle w:val="Compact"/>
        <w:numPr>
          <w:ilvl w:val="0"/>
          <w:numId w:val="1011"/>
        </w:numPr>
      </w:pPr>
      <w:r>
        <w:rPr>
          <w:rStyle w:val="VerbatimChar"/>
        </w:rPr>
        <w:t xml:space="preserve">archive_validator</w:t>
      </w:r>
    </w:p>
    <w:p>
      <w:pPr>
        <w:pStyle w:val="Compact"/>
        <w:numPr>
          <w:ilvl w:val="0"/>
          <w:numId w:val="1011"/>
        </w:numPr>
      </w:pPr>
      <w:r>
        <w:rPr>
          <w:rStyle w:val="VerbatimChar"/>
        </w:rPr>
        <w:t xml:space="preserve">audit_validator</w:t>
      </w:r>
    </w:p>
    <w:p>
      <w:pPr>
        <w:pStyle w:val="Compact"/>
        <w:numPr>
          <w:ilvl w:val="0"/>
          <w:numId w:val="1011"/>
        </w:numPr>
      </w:pPr>
      <w:r>
        <w:rPr>
          <w:rStyle w:val="VerbatimChar"/>
        </w:rPr>
        <w:t xml:space="preserve">data_availability</w:t>
      </w:r>
    </w:p>
    <w:p>
      <w:pPr>
        <w:pStyle w:val="Compact"/>
        <w:numPr>
          <w:ilvl w:val="0"/>
          <w:numId w:val="1011"/>
        </w:numPr>
      </w:pPr>
      <w:r>
        <w:rPr>
          <w:rStyle w:val="VerbatimChar"/>
        </w:rPr>
        <w:t xml:space="preserve">rpc_gateway</w:t>
      </w:r>
    </w:p>
    <w:p>
      <w:pPr>
        <w:pStyle w:val="Compact"/>
        <w:numPr>
          <w:ilvl w:val="0"/>
          <w:numId w:val="1011"/>
        </w:numPr>
      </w:pPr>
      <w:r>
        <w:t xml:space="preserve">relayer / verifier / governance / treasury / security-council roles</w:t>
      </w:r>
    </w:p>
    <w:p>
      <w:pPr>
        <w:pStyle w:val="FirstParagraph"/>
      </w:pPr>
      <w:r>
        <w:t xml:space="preserve">That means the operational model for a DAG rollout already exists conceptually. What is missing is the</w:t>
      </w:r>
      <w:r>
        <w:t xml:space="preserve"> </w:t>
      </w:r>
      <w:r>
        <w:rPr>
          <w:b/>
          <w:bCs/>
        </w:rPr>
        <w:t xml:space="preserve">implementation behind the DA and audit surfaces</w:t>
      </w:r>
      <w:r>
        <w:t xml:space="preserve">, not the role taxonomy.</w:t>
      </w:r>
    </w:p>
    <w:p>
      <w:pPr>
        <w:pStyle w:val="CaptionedFigure"/>
      </w:pPr>
      <w:r>
        <w:drawing>
          <wp:inline>
            <wp:extent cx="3653536" cy="6830523"/>
            <wp:effectExtent b="0" l="0" r="0" t="0"/>
            <wp:docPr descr="Primary code touchpoints for a new cluster DAG subsystem" title="" id="34" name="Picture"/>
            <a:graphic>
              <a:graphicData uri="http://schemas.openxmlformats.org/drawingml/2006/picture">
                <pic:pic>
                  <pic:nvPicPr>
                    <pic:cNvPr descr="/mnt/data/merged_report_assets/chart2.png" id="35" name="Picture"/>
                    <pic:cNvPicPr>
                      <a:picLocks noChangeArrowheads="1" noChangeAspect="1"/>
                    </pic:cNvPicPr>
                  </pic:nvPicPr>
                  <pic:blipFill>
                    <a:blip r:embed="rId33"/>
                    <a:stretch>
                      <a:fillRect/>
                    </a:stretch>
                  </pic:blipFill>
                  <pic:spPr bwMode="auto">
                    <a:xfrm>
                      <a:off x="0" y="0"/>
                      <a:ext cx="3653536" cy="6830523"/>
                    </a:xfrm>
                    <a:prstGeom prst="rect">
                      <a:avLst/>
                    </a:prstGeom>
                    <a:noFill/>
                    <a:ln w="9525">
                      <a:noFill/>
                      <a:headEnd/>
                      <a:tailEnd/>
                    </a:ln>
                  </pic:spPr>
                </pic:pic>
              </a:graphicData>
            </a:graphic>
          </wp:inline>
        </w:drawing>
      </w:r>
    </w:p>
    <w:p>
      <w:pPr>
        <w:pStyle w:val="ImageCaption"/>
      </w:pPr>
      <w:r>
        <w:t xml:space="preserve">Primary code touchpoints for a new cluster DAG subsystem</w:t>
      </w:r>
    </w:p>
    <w:bookmarkEnd w:id="36"/>
    <w:bookmarkStart w:id="37" w:name="highest-impact-code-findings"/>
    <w:p>
      <w:pPr>
        <w:pStyle w:val="Heading2"/>
      </w:pPr>
      <w:r>
        <w:t xml:space="preserve">Highest-impact code findings</w:t>
      </w:r>
    </w:p>
    <w:p>
      <w:pPr>
        <w:pStyle w:val="Compact"/>
        <w:numPr>
          <w:ilvl w:val="0"/>
          <w:numId w:val="1012"/>
        </w:numPr>
      </w:pPr>
      <w:r>
        <w:rPr>
          <w:b/>
          <w:bCs/>
        </w:rPr>
        <w:t xml:space="preserve">Local vote synthesis in</w:t>
      </w:r>
      <w:r>
        <w:rPr>
          <w:b/>
          <w:bCs/>
        </w:rPr>
        <w:t xml:space="preserve"> </w:t>
      </w:r>
      <w:r>
        <w:rPr>
          <w:rStyle w:val="VerbatimChar"/>
          <w:b/>
          <w:bCs/>
        </w:rPr>
        <w:t xml:space="preserve">collect_votes()</w:t>
      </w:r>
      <w:r>
        <w:rPr>
          <w:b/>
          <w:bCs/>
        </w:rPr>
        <w:t xml:space="preserve">.</w:t>
      </w:r>
      <w:r>
        <w:t xml:space="preserve"> </w:t>
      </w:r>
      <w:r>
        <w:t xml:space="preserve">The QC path is not yet a full network vote exchange. Keep DAG rollout below QC finality and avoid assuming mature vote networking on day one.</w:t>
      </w:r>
    </w:p>
    <w:p>
      <w:pPr>
        <w:pStyle w:val="Compact"/>
        <w:numPr>
          <w:ilvl w:val="0"/>
          <w:numId w:val="1012"/>
        </w:numPr>
      </w:pPr>
      <w:r>
        <w:rPr>
          <w:b/>
          <w:bCs/>
        </w:rPr>
        <w:t xml:space="preserve">Wall-clock entropy input.</w:t>
      </w:r>
      <w:r>
        <w:t xml:space="preserve"> </w:t>
      </w:r>
      <w:r>
        <w:rPr>
          <w:rStyle w:val="VerbatimChar"/>
        </w:rPr>
        <w:t xml:space="preserve">EntropyBeacon</w:t>
      </w:r>
      <w:r>
        <w:t xml:space="preserve"> </w:t>
      </w:r>
      <w:r>
        <w:t xml:space="preserve">mixes in current time. Replace that with externally reproducible epoch randomness before DAG ordering depends on it.</w:t>
      </w:r>
    </w:p>
    <w:p>
      <w:pPr>
        <w:pStyle w:val="Compact"/>
        <w:numPr>
          <w:ilvl w:val="0"/>
          <w:numId w:val="1012"/>
        </w:numPr>
      </w:pPr>
      <w:r>
        <w:rPr>
          <w:b/>
          <w:bCs/>
        </w:rPr>
        <w:t xml:space="preserve">Cluster-size mismatch.</w:t>
      </w:r>
      <w:r>
        <w:t xml:space="preserve"> </w:t>
      </w:r>
      <w:r>
        <w:rPr>
          <w:rStyle w:val="VerbatimChar"/>
        </w:rPr>
        <w:t xml:space="preserve">MAX_CLUSTER_SIZE = 5</w:t>
      </w:r>
      <w:r>
        <w:t xml:space="preserve"> </w:t>
      </w:r>
      <w:r>
        <w:t xml:space="preserve">in validator reorganization while config defaults say</w:t>
      </w:r>
      <w:r>
        <w:t xml:space="preserve"> </w:t>
      </w:r>
      <w:r>
        <w:rPr>
          <w:rStyle w:val="VerbatimChar"/>
        </w:rPr>
        <w:t xml:space="preserve">7</w:t>
      </w:r>
      <w:r>
        <w:t xml:space="preserve">. Canonicalize beta cluster size before DAG certificate thresholds are defined.</w:t>
      </w:r>
    </w:p>
    <w:p>
      <w:pPr>
        <w:pStyle w:val="Compact"/>
        <w:numPr>
          <w:ilvl w:val="0"/>
          <w:numId w:val="1012"/>
        </w:numPr>
      </w:pPr>
      <w:r>
        <w:rPr>
          <w:b/>
          <w:bCs/>
        </w:rPr>
        <w:t xml:space="preserve">No DAG wire schema.</w:t>
      </w:r>
      <w:r>
        <w:t xml:space="preserve"> </w:t>
      </w:r>
      <w:r>
        <w:rPr>
          <w:rStyle w:val="VerbatimChar"/>
        </w:rPr>
        <w:t xml:space="preserve">NetworkMessage</w:t>
      </w:r>
      <w:r>
        <w:t xml:space="preserve"> </w:t>
      </w:r>
      <w:r>
        <w:t xml:space="preserve">currently has no vertex, receipt, certificate, cut, or checkpoint variants. Add them explicitly and gate them with capability flags.</w:t>
      </w:r>
    </w:p>
    <w:p>
      <w:pPr>
        <w:pStyle w:val="Compact"/>
        <w:numPr>
          <w:ilvl w:val="0"/>
          <w:numId w:val="1012"/>
        </w:numPr>
      </w:pPr>
      <w:r>
        <w:rPr>
          <w:b/>
          <w:bCs/>
        </w:rPr>
        <w:t xml:space="preserve">Block-only sync.</w:t>
      </w:r>
      <w:r>
        <w:t xml:space="preserve"> </w:t>
      </w:r>
      <w:r>
        <w:t xml:space="preserve">Archive, audit, and DA nodes cannot reconstruct DAG state from the current sync stack. Add bounded DAG artifact sync.</w:t>
      </w:r>
    </w:p>
    <w:p>
      <w:pPr>
        <w:pStyle w:val="Compact"/>
        <w:numPr>
          <w:ilvl w:val="0"/>
          <w:numId w:val="1012"/>
        </w:numPr>
      </w:pPr>
      <w:r>
        <w:rPr>
          <w:b/>
          <w:bCs/>
        </w:rPr>
        <w:t xml:space="preserve">Best-effort transaction authentication.</w:t>
      </w:r>
      <w:r>
        <w:t xml:space="preserve"> </w:t>
      </w:r>
      <w:r>
        <w:t xml:space="preserve">Signature verification can be skipped for unknown transaction senders. DAG control artifacts must never use that relaxed path.</w:t>
      </w:r>
    </w:p>
    <w:p>
      <w:pPr>
        <w:pStyle w:val="Compact"/>
        <w:numPr>
          <w:ilvl w:val="0"/>
          <w:numId w:val="1012"/>
        </w:numPr>
      </w:pPr>
      <w:r>
        <w:rPr>
          <w:b/>
          <w:bCs/>
        </w:rPr>
        <w:t xml:space="preserve">Underpowered cartel thresholds.</w:t>
      </w:r>
      <w:r>
        <w:t xml:space="preserve"> </w:t>
      </w:r>
      <w:r>
        <w:t xml:space="preserve">Current cartel thresholds exceed beta cluster size. Rework them and use DAG-native evidence.</w:t>
      </w:r>
    </w:p>
    <w:p>
      <w:pPr>
        <w:pStyle w:val="Compact"/>
        <w:numPr>
          <w:ilvl w:val="0"/>
          <w:numId w:val="1012"/>
        </w:numPr>
      </w:pPr>
      <w:r>
        <w:rPr>
          <w:b/>
          <w:bCs/>
        </w:rPr>
        <w:t xml:space="preserve">Declarative DA role, thin implementation.</w:t>
      </w:r>
      <w:r>
        <w:t xml:space="preserve"> </w:t>
      </w:r>
      <w:r>
        <w:t xml:space="preserve">The topology hook exists, but the blob-store and proof machinery do not yet exist in the source bundle.</w:t>
      </w:r>
    </w:p>
    <w:p>
      <w:pPr>
        <w:pStyle w:val="FirstParagraph"/>
      </w:pPr>
      <w:r>
        <w:rPr>
          <w:b/>
          <w:bCs/>
        </w:rPr>
        <w:t xml:space="preserve">Source anchors:</w:t>
      </w:r>
      <w:r>
        <w:t xml:space="preserve"> </w:t>
      </w:r>
      <w:r>
        <w:rPr>
          <w:rStyle w:val="VerbatimChar"/>
        </w:rPr>
        <w:t xml:space="preserve">src/consensus/consensus_algorithm.rs</w:t>
      </w:r>
      <w:r>
        <w:t xml:space="preserve">,</w:t>
      </w:r>
      <w:r>
        <w:t xml:space="preserve"> </w:t>
      </w:r>
      <w:r>
        <w:rPr>
          <w:rStyle w:val="VerbatimChar"/>
        </w:rPr>
        <w:t xml:space="preserve">src/consensus/dual_quorum.rs</w:t>
      </w:r>
      <w:r>
        <w:t xml:space="preserve">,</w:t>
      </w:r>
      <w:r>
        <w:t xml:space="preserve"> </w:t>
      </w:r>
      <w:r>
        <w:rPr>
          <w:rStyle w:val="VerbatimChar"/>
        </w:rPr>
        <w:t xml:space="preserve">src/validator.rs</w:t>
      </w:r>
      <w:r>
        <w:t xml:space="preserve">,</w:t>
      </w:r>
      <w:r>
        <w:t xml:space="preserve"> </w:t>
      </w:r>
      <w:r>
        <w:rPr>
          <w:rStyle w:val="VerbatimChar"/>
        </w:rPr>
        <w:t xml:space="preserve">src/consensus/synergy_score.rs</w:t>
      </w:r>
      <w:r>
        <w:t xml:space="preserve">,</w:t>
      </w:r>
      <w:r>
        <w:t xml:space="preserve"> </w:t>
      </w:r>
      <w:r>
        <w:rPr>
          <w:rStyle w:val="VerbatimChar"/>
        </w:rPr>
        <w:t xml:space="preserve">src/consensus/cartel_detection.rs</w:t>
      </w:r>
      <w:r>
        <w:t xml:space="preserve">,</w:t>
      </w:r>
      <w:r>
        <w:t xml:space="preserve"> </w:t>
      </w:r>
      <w:r>
        <w:rPr>
          <w:rStyle w:val="VerbatimChar"/>
        </w:rPr>
        <w:t xml:space="preserve">src/p2p/messages.rs</w:t>
      </w:r>
      <w:r>
        <w:t xml:space="preserve">,</w:t>
      </w:r>
      <w:r>
        <w:t xml:space="preserve"> </w:t>
      </w:r>
      <w:r>
        <w:rPr>
          <w:rStyle w:val="VerbatimChar"/>
        </w:rPr>
        <w:t xml:space="preserve">src/p2p/networking.rs</w:t>
      </w:r>
      <w:r>
        <w:t xml:space="preserve">,</w:t>
      </w:r>
      <w:r>
        <w:t xml:space="preserve"> </w:t>
      </w:r>
      <w:r>
        <w:rPr>
          <w:rStyle w:val="VerbatimChar"/>
        </w:rPr>
        <w:t xml:space="preserve">src/sync/manager.rs</w:t>
      </w:r>
      <w:r>
        <w:t xml:space="preserve">,</w:t>
      </w:r>
      <w:r>
        <w:t xml:space="preserve"> </w:t>
      </w:r>
      <w:r>
        <w:rPr>
          <w:rStyle w:val="VerbatimChar"/>
        </w:rPr>
        <w:t xml:space="preserve">src/block.rs</w:t>
      </w:r>
      <w:r>
        <w:t xml:space="preserve">,</w:t>
      </w:r>
      <w:r>
        <w:t xml:space="preserve"> </w:t>
      </w:r>
      <w:r>
        <w:rPr>
          <w:rStyle w:val="VerbatimChar"/>
        </w:rPr>
        <w:t xml:space="preserve">src/transaction.rs</w:t>
      </w:r>
      <w:r>
        <w:t xml:space="preserve">,</w:t>
      </w:r>
      <w:r>
        <w:t xml:space="preserve"> </w:t>
      </w:r>
      <w:r>
        <w:rPr>
          <w:rStyle w:val="VerbatimChar"/>
        </w:rPr>
        <w:t xml:space="preserve">src/rpc/rpc_server.rs</w:t>
      </w:r>
      <w:r>
        <w:t xml:space="preserve">,</w:t>
      </w:r>
      <w:r>
        <w:t xml:space="preserve"> </w:t>
      </w:r>
      <w:r>
        <w:rPr>
          <w:rStyle w:val="VerbatimChar"/>
        </w:rPr>
        <w:t xml:space="preserve">src/role_profiles.rs</w:t>
      </w:r>
      <w:r>
        <w:t xml:space="preserve">.</w:t>
      </w:r>
    </w:p>
    <w:bookmarkEnd w:id="37"/>
    <w:bookmarkEnd w:id="38"/>
    <w:bookmarkStart w:id="48" w:name="recommended-target-architecture"/>
    <w:p>
      <w:pPr>
        <w:pStyle w:val="Heading1"/>
      </w:pPr>
      <w:r>
        <w:t xml:space="preserve">Recommended target architecture</w:t>
      </w:r>
    </w:p>
    <w:p>
      <w:pPr>
        <w:pStyle w:val="FirstParagraph"/>
      </w:pPr>
      <w:r>
        <w:t xml:space="preserve">The target architecture should be a</w:t>
      </w:r>
      <w:r>
        <w:t xml:space="preserve"> </w:t>
      </w:r>
      <w:r>
        <w:rPr>
          <w:b/>
          <w:bCs/>
        </w:rPr>
        <w:t xml:space="preserve">hybrid validator-cluster DAG</w:t>
      </w:r>
      <w:r>
        <w:t xml:space="preserve"> </w:t>
      </w:r>
      <w:r>
        <w:t xml:space="preserve">with unchanged PoSy finality.</w:t>
      </w:r>
    </w:p>
    <w:p>
      <w:pPr>
        <w:pStyle w:val="BodyText"/>
      </w:pPr>
      <w:r>
        <w:t xml:space="preserve">Inside each active validator cluster, transactions are grouped into bounded batches. Each batch becomes a</w:t>
      </w:r>
      <w:r>
        <w:t xml:space="preserve"> </w:t>
      </w:r>
      <w:r>
        <w:rPr>
          <w:rStyle w:val="VerbatimChar"/>
        </w:rPr>
        <w:t xml:space="preserve">DagVertex</w:t>
      </w:r>
      <w:r>
        <w:t xml:space="preserve"> </w:t>
      </w:r>
      <w:r>
        <w:t xml:space="preserve">with parent references, author identity, round and epoch metadata, and a commitment to the batch or batch blob. Peers acknowledge availability only after they can actually fetch and retain the batch data. Once a threshold is met, the vertex becomes availability-certified. The proposer then computes a deterministic ordering cut from the certified frontier and builds a normal block candidate. Validators verify both the cut and the resulting state transition. PoSy’s dual-quorum path then emits the final QC.</w:t>
      </w:r>
    </w:p>
    <w:p>
      <w:pPr>
        <w:pStyle w:val="BodyText"/>
      </w:pPr>
      <w:r>
        <w:t xml:space="preserve">Across clusters, only</w:t>
      </w:r>
      <w:r>
        <w:t xml:space="preserve"> </w:t>
      </w:r>
      <w:r>
        <w:rPr>
          <w:b/>
          <w:bCs/>
        </w:rPr>
        <w:t xml:space="preserve">compact checkpoint artifacts</w:t>
      </w:r>
      <w:r>
        <w:t xml:space="preserve"> </w:t>
      </w:r>
      <w:r>
        <w:t xml:space="preserve">should move. The first release should not attempt a single global raw DAG. That would inflate surface area, confuse finality semantics, and burden sync/storage before the local-cluster design has proven itself.</w:t>
      </w:r>
    </w:p>
    <w:bookmarkStart w:id="39" w:name="recommended-artifact-set"/>
    <w:p>
      <w:pPr>
        <w:pStyle w:val="Heading2"/>
      </w:pPr>
      <w:r>
        <w:t xml:space="preserve">Recommended artifact set</w:t>
      </w:r>
    </w:p>
    <w:p>
      <w:pPr>
        <w:pStyle w:val="FirstParagraph"/>
      </w:pPr>
      <w:r>
        <w:t xml:space="preserve">The source tree does not contain these objects yet, so they should be added explicitly rather than implied.</w:t>
      </w:r>
    </w:p>
    <w:p>
      <w:pPr>
        <w:pStyle w:val="Compact"/>
        <w:numPr>
          <w:ilvl w:val="0"/>
          <w:numId w:val="1013"/>
        </w:numPr>
      </w:pPr>
      <w:r>
        <w:rPr>
          <w:b/>
          <w:bCs/>
        </w:rPr>
        <w:t xml:space="preserve">DagBatch</w:t>
      </w:r>
      <w:r>
        <w:t xml:space="preserve"> </w:t>
      </w:r>
      <w:r>
        <w:t xml:space="preserve">– a bounded transaction set or a bounded set of ciphertext-shard references.</w:t>
      </w:r>
    </w:p>
    <w:p>
      <w:pPr>
        <w:pStyle w:val="Compact"/>
        <w:numPr>
          <w:ilvl w:val="0"/>
          <w:numId w:val="1013"/>
        </w:numPr>
      </w:pPr>
      <w:r>
        <w:rPr>
          <w:b/>
          <w:bCs/>
        </w:rPr>
        <w:t xml:space="preserve">DagVertex</w:t>
      </w:r>
      <w:r>
        <w:t xml:space="preserve"> </w:t>
      </w:r>
      <w:r>
        <w:t xml:space="preserve">– author, epoch, round, parents, batch commitment, previous-author link, timestamp, sequence number, signature.</w:t>
      </w:r>
    </w:p>
    <w:p>
      <w:pPr>
        <w:pStyle w:val="Compact"/>
        <w:numPr>
          <w:ilvl w:val="0"/>
          <w:numId w:val="1013"/>
        </w:numPr>
      </w:pPr>
      <w:r>
        <w:rPr>
          <w:b/>
          <w:bCs/>
        </w:rPr>
        <w:t xml:space="preserve">AvailabilityReceipt</w:t>
      </w:r>
      <w:r>
        <w:t xml:space="preserve"> </w:t>
      </w:r>
      <w:r>
        <w:t xml:space="preserve">– signer identity, vertex commitment, batch-availability attestation, signature.</w:t>
      </w:r>
    </w:p>
    <w:p>
      <w:pPr>
        <w:pStyle w:val="Compact"/>
        <w:numPr>
          <w:ilvl w:val="0"/>
          <w:numId w:val="1013"/>
        </w:numPr>
      </w:pPr>
      <w:r>
        <w:rPr>
          <w:b/>
          <w:bCs/>
        </w:rPr>
        <w:t xml:space="preserve">DagCertificate</w:t>
      </w:r>
      <w:r>
        <w:t xml:space="preserve"> </w:t>
      </w:r>
      <w:r>
        <w:t xml:space="preserve">– receipt aggregate, signer bitmap, threshold proof, timestamp.</w:t>
      </w:r>
    </w:p>
    <w:p>
      <w:pPr>
        <w:pStyle w:val="Compact"/>
        <w:numPr>
          <w:ilvl w:val="0"/>
          <w:numId w:val="1013"/>
        </w:numPr>
      </w:pPr>
      <w:r>
        <w:rPr>
          <w:b/>
          <w:bCs/>
        </w:rPr>
        <w:t xml:space="preserve">OrderingCut</w:t>
      </w:r>
      <w:r>
        <w:t xml:space="preserve"> </w:t>
      </w:r>
      <w:r>
        <w:t xml:space="preserve">– anchor, certified-vertex set root, deterministic topological order root, resulting ordered transaction root.</w:t>
      </w:r>
    </w:p>
    <w:p>
      <w:pPr>
        <w:pStyle w:val="Compact"/>
        <w:numPr>
          <w:ilvl w:val="0"/>
          <w:numId w:val="1013"/>
        </w:numPr>
      </w:pPr>
      <w:r>
        <w:rPr>
          <w:b/>
          <w:bCs/>
        </w:rPr>
        <w:t xml:space="preserve">ClusterCheckpoint</w:t>
      </w:r>
      <w:r>
        <w:t xml:space="preserve"> </w:t>
      </w:r>
      <w:r>
        <w:t xml:space="preserve">– latest QC, DAG watermark, availability root, optional cross-cluster export commitments.</w:t>
      </w:r>
    </w:p>
    <w:p>
      <w:pPr>
        <w:pStyle w:val="Compact"/>
        <w:numPr>
          <w:ilvl w:val="0"/>
          <w:numId w:val="1013"/>
        </w:numPr>
      </w:pPr>
      <w:r>
        <w:rPr>
          <w:b/>
          <w:bCs/>
        </w:rPr>
        <w:t xml:space="preserve">EvidenceBundle</w:t>
      </w:r>
      <w:r>
        <w:t xml:space="preserve"> </w:t>
      </w:r>
      <w:r>
        <w:t xml:space="preserve">– equivocations, stale or replay injections, failed availability proofs, censorship evidence, pruning receipts, replay material.</w:t>
      </w:r>
    </w:p>
    <w:bookmarkEnd w:id="39"/>
    <w:bookmarkStart w:id="46" w:name="what-should-go-on-chain-versus-off-chain"/>
    <w:p>
      <w:pPr>
        <w:pStyle w:val="Heading2"/>
      </w:pPr>
      <w:r>
        <w:t xml:space="preserve">What should go on-chain versus off-chain</w:t>
      </w:r>
    </w:p>
    <w:p>
      <w:pPr>
        <w:pStyle w:val="FirstParagraph"/>
      </w:pPr>
      <w:r>
        <w:t xml:space="preserve">The safest rule is this: store only the compact commitments needed for independent verification in finalized block artifacts, and keep the heavy DAG graph in cluster stores and archive tiers.</w:t>
      </w:r>
    </w:p>
    <w:p>
      <w:pPr>
        <w:pStyle w:val="BodyText"/>
      </w:pPr>
      <w:r>
        <w:rPr>
          <w:b/>
          <w:bCs/>
        </w:rPr>
        <w:t xml:space="preserve">On-chain / in finalized blocks</w:t>
      </w:r>
    </w:p>
    <w:p>
      <w:pPr>
        <w:pStyle w:val="Compact"/>
        <w:numPr>
          <w:ilvl w:val="0"/>
          <w:numId w:val="1014"/>
        </w:numPr>
      </w:pPr>
      <w:r>
        <w:t xml:space="preserve">ordered transaction list or ordered transaction root</w:t>
      </w:r>
    </w:p>
    <w:p>
      <w:pPr>
        <w:pStyle w:val="Compact"/>
        <w:numPr>
          <w:ilvl w:val="0"/>
          <w:numId w:val="1014"/>
        </w:numPr>
      </w:pPr>
      <w:r>
        <w:t xml:space="preserve">normal block/state commitments</w:t>
      </w:r>
    </w:p>
    <w:p>
      <w:pPr>
        <w:pStyle w:val="Compact"/>
        <w:numPr>
          <w:ilvl w:val="0"/>
          <w:numId w:val="1014"/>
        </w:numPr>
      </w:pPr>
      <w:r>
        <w:t xml:space="preserve">ordering-cut root</w:t>
      </w:r>
    </w:p>
    <w:p>
      <w:pPr>
        <w:pStyle w:val="Compact"/>
        <w:numPr>
          <w:ilvl w:val="0"/>
          <w:numId w:val="1014"/>
        </w:numPr>
      </w:pPr>
      <w:r>
        <w:t xml:space="preserve">availability or frontier commitment root</w:t>
      </w:r>
    </w:p>
    <w:p>
      <w:pPr>
        <w:pStyle w:val="Compact"/>
        <w:numPr>
          <w:ilvl w:val="0"/>
          <w:numId w:val="1014"/>
        </w:numPr>
      </w:pPr>
      <w:r>
        <w:t xml:space="preserve">slashable evidence hashes if triggered in that block</w:t>
      </w:r>
    </w:p>
    <w:p>
      <w:pPr>
        <w:pStyle w:val="FirstParagraph"/>
      </w:pPr>
      <w:r>
        <w:rPr>
          <w:b/>
          <w:bCs/>
        </w:rPr>
        <w:t xml:space="preserve">Off the hot path but retained for proof</w:t>
      </w:r>
    </w:p>
    <w:p>
      <w:pPr>
        <w:pStyle w:val="Compact"/>
        <w:numPr>
          <w:ilvl w:val="0"/>
          <w:numId w:val="1015"/>
        </w:numPr>
      </w:pPr>
      <w:r>
        <w:t xml:space="preserve">full batch blobs or ciphertext shards</w:t>
      </w:r>
    </w:p>
    <w:p>
      <w:pPr>
        <w:pStyle w:val="Compact"/>
        <w:numPr>
          <w:ilvl w:val="0"/>
          <w:numId w:val="1015"/>
        </w:numPr>
      </w:pPr>
      <w:r>
        <w:t xml:space="preserve">full DAG edge set</w:t>
      </w:r>
    </w:p>
    <w:p>
      <w:pPr>
        <w:pStyle w:val="Compact"/>
        <w:numPr>
          <w:ilvl w:val="0"/>
          <w:numId w:val="1015"/>
        </w:numPr>
      </w:pPr>
      <w:r>
        <w:t xml:space="preserve">chunk repair logs</w:t>
      </w:r>
    </w:p>
    <w:p>
      <w:pPr>
        <w:pStyle w:val="Compact"/>
        <w:numPr>
          <w:ilvl w:val="0"/>
          <w:numId w:val="1015"/>
        </w:numPr>
      </w:pPr>
      <w:r>
        <w:t xml:space="preserve">equivocation artifacts</w:t>
      </w:r>
    </w:p>
    <w:p>
      <w:pPr>
        <w:pStyle w:val="Compact"/>
        <w:numPr>
          <w:ilvl w:val="0"/>
          <w:numId w:val="1015"/>
        </w:numPr>
      </w:pPr>
      <w:r>
        <w:t xml:space="preserve">replay and censorship evidence bundles</w:t>
      </w:r>
    </w:p>
    <w:p>
      <w:pPr>
        <w:pStyle w:val="Compact"/>
        <w:numPr>
          <w:ilvl w:val="0"/>
          <w:numId w:val="1015"/>
        </w:numPr>
      </w:pPr>
      <w:r>
        <w:t xml:space="preserve">historical replay material for archive and audit roles</w:t>
      </w:r>
    </w:p>
    <w:p>
      <w:pPr>
        <w:pStyle w:val="CaptionedFigure"/>
      </w:pPr>
      <w:r>
        <w:drawing>
          <wp:inline>
            <wp:extent cx="4535424" cy="4552554"/>
            <wp:effectExtent b="0" l="0" r="0" t="0"/>
            <wp:docPr descr="DAG artifact lifecycle and proof boundaries" title="" id="41" name="Picture"/>
            <a:graphic>
              <a:graphicData uri="http://schemas.openxmlformats.org/drawingml/2006/picture">
                <pic:pic>
                  <pic:nvPicPr>
                    <pic:cNvPr descr="/mnt/data/merged_report_assets/chart3.png" id="42" name="Picture"/>
                    <pic:cNvPicPr>
                      <a:picLocks noChangeArrowheads="1" noChangeAspect="1"/>
                    </pic:cNvPicPr>
                  </pic:nvPicPr>
                  <pic:blipFill>
                    <a:blip r:embed="rId40"/>
                    <a:stretch>
                      <a:fillRect/>
                    </a:stretch>
                  </pic:blipFill>
                  <pic:spPr bwMode="auto">
                    <a:xfrm>
                      <a:off x="0" y="0"/>
                      <a:ext cx="4535424" cy="4552554"/>
                    </a:xfrm>
                    <a:prstGeom prst="rect">
                      <a:avLst/>
                    </a:prstGeom>
                    <a:noFill/>
                    <a:ln w="9525">
                      <a:noFill/>
                      <a:headEnd/>
                      <a:tailEnd/>
                    </a:ln>
                  </pic:spPr>
                </pic:pic>
              </a:graphicData>
            </a:graphic>
          </wp:inline>
        </w:drawing>
      </w:r>
    </w:p>
    <w:p>
      <w:pPr>
        <w:pStyle w:val="ImageCaption"/>
      </w:pPr>
      <w:r>
        <w:t xml:space="preserve">DAG artifact lifecycle and proof boundaries</w:t>
      </w:r>
    </w:p>
    <w:p>
      <w:pPr>
        <w:pStyle w:val="CaptionedFigure"/>
      </w:pPr>
      <w:r>
        <w:drawing>
          <wp:inline>
            <wp:extent cx="4913376" cy="3467362"/>
            <wp:effectExtent b="0" l="0" r="0" t="0"/>
            <wp:docPr descr="Suggested beta node topology for DAG rollout" title="" id="44" name="Picture"/>
            <a:graphic>
              <a:graphicData uri="http://schemas.openxmlformats.org/drawingml/2006/picture">
                <pic:pic>
                  <pic:nvPicPr>
                    <pic:cNvPr descr="/mnt/data/merged_report_assets/chart4.png" id="45" name="Picture"/>
                    <pic:cNvPicPr>
                      <a:picLocks noChangeArrowheads="1" noChangeAspect="1"/>
                    </pic:cNvPicPr>
                  </pic:nvPicPr>
                  <pic:blipFill>
                    <a:blip r:embed="rId43"/>
                    <a:stretch>
                      <a:fillRect/>
                    </a:stretch>
                  </pic:blipFill>
                  <pic:spPr bwMode="auto">
                    <a:xfrm>
                      <a:off x="0" y="0"/>
                      <a:ext cx="4913376" cy="3467362"/>
                    </a:xfrm>
                    <a:prstGeom prst="rect">
                      <a:avLst/>
                    </a:prstGeom>
                    <a:noFill/>
                    <a:ln w="9525">
                      <a:noFill/>
                      <a:headEnd/>
                      <a:tailEnd/>
                    </a:ln>
                  </pic:spPr>
                </pic:pic>
              </a:graphicData>
            </a:graphic>
          </wp:inline>
        </w:drawing>
      </w:r>
    </w:p>
    <w:p>
      <w:pPr>
        <w:pStyle w:val="ImageCaption"/>
      </w:pPr>
      <w:r>
        <w:t xml:space="preserve">Suggested beta node topology for DAG rollout</w:t>
      </w:r>
    </w:p>
    <w:bookmarkEnd w:id="46"/>
    <w:bookmarkStart w:id="47" w:name="non-negotiable-architectural-invariants"/>
    <w:p>
      <w:pPr>
        <w:pStyle w:val="Heading2"/>
      </w:pPr>
      <w:r>
        <w:t xml:space="preserve">Non-negotiable architectural invariants</w:t>
      </w:r>
    </w:p>
    <w:p>
      <w:pPr>
        <w:pStyle w:val="Compact"/>
        <w:numPr>
          <w:ilvl w:val="0"/>
          <w:numId w:val="1016"/>
        </w:numPr>
      </w:pPr>
      <w:r>
        <w:rPr>
          <w:b/>
          <w:bCs/>
        </w:rPr>
        <w:t xml:space="preserve">QC remains the only settlement artifact.</w:t>
      </w:r>
      <w:r>
        <w:t xml:space="preserve"> </w:t>
      </w:r>
      <w:r>
        <w:t xml:space="preserve">DAG acceptance is not settlement.</w:t>
      </w:r>
    </w:p>
    <w:p>
      <w:pPr>
        <w:pStyle w:val="Compact"/>
        <w:numPr>
          <w:ilvl w:val="0"/>
          <w:numId w:val="1016"/>
        </w:numPr>
      </w:pPr>
      <w:r>
        <w:rPr>
          <w:b/>
          <w:bCs/>
        </w:rPr>
        <w:t xml:space="preserve">Cluster-local first.</w:t>
      </w:r>
      <w:r>
        <w:t xml:space="preserve"> </w:t>
      </w:r>
      <w:r>
        <w:t xml:space="preserve">Cross-cluster traffic carries checkpoints, not raw vertex floods.</w:t>
      </w:r>
    </w:p>
    <w:p>
      <w:pPr>
        <w:pStyle w:val="Compact"/>
        <w:numPr>
          <w:ilvl w:val="0"/>
          <w:numId w:val="1016"/>
        </w:numPr>
      </w:pPr>
      <w:r>
        <w:rPr>
          <w:b/>
          <w:bCs/>
        </w:rPr>
        <w:t xml:space="preserve">Availability before ordering.</w:t>
      </w:r>
      <w:r>
        <w:t xml:space="preserve"> </w:t>
      </w:r>
      <w:r>
        <w:t xml:space="preserve">No uncertified or unavailable vertex can influence canonical order.</w:t>
      </w:r>
    </w:p>
    <w:p>
      <w:pPr>
        <w:pStyle w:val="Compact"/>
        <w:numPr>
          <w:ilvl w:val="0"/>
          <w:numId w:val="1016"/>
        </w:numPr>
      </w:pPr>
      <w:r>
        <w:rPr>
          <w:b/>
          <w:bCs/>
        </w:rPr>
        <w:t xml:space="preserve">Deterministic cut generation.</w:t>
      </w:r>
      <w:r>
        <w:t xml:space="preserve"> </w:t>
      </w:r>
      <w:r>
        <w:t xml:space="preserve">No local heuristics or wall-clock tie-breakers.</w:t>
      </w:r>
    </w:p>
    <w:p>
      <w:pPr>
        <w:pStyle w:val="Compact"/>
        <w:numPr>
          <w:ilvl w:val="0"/>
          <w:numId w:val="1016"/>
        </w:numPr>
      </w:pPr>
      <w:r>
        <w:rPr>
          <w:b/>
          <w:bCs/>
        </w:rPr>
        <w:t xml:space="preserve">Hard epoch boundaries.</w:t>
      </w:r>
      <w:r>
        <w:t xml:space="preserve"> </w:t>
      </w:r>
      <w:r>
        <w:t xml:space="preserve">Old graph material cannot bleed forward indefinitely.</w:t>
      </w:r>
    </w:p>
    <w:p>
      <w:pPr>
        <w:pStyle w:val="Compact"/>
        <w:numPr>
          <w:ilvl w:val="0"/>
          <w:numId w:val="1016"/>
        </w:numPr>
      </w:pPr>
      <w:r>
        <w:rPr>
          <w:b/>
          <w:bCs/>
        </w:rPr>
        <w:t xml:space="preserve">Encrypted batches.</w:t>
      </w:r>
      <w:r>
        <w:t xml:space="preserve"> </w:t>
      </w:r>
      <w:r>
        <w:t xml:space="preserve">The DAG must not create a pre-decryption MEV leak.</w:t>
      </w:r>
    </w:p>
    <w:p>
      <w:pPr>
        <w:pStyle w:val="Compact"/>
        <w:numPr>
          <w:ilvl w:val="0"/>
          <w:numId w:val="1016"/>
        </w:numPr>
      </w:pPr>
      <w:r>
        <w:rPr>
          <w:b/>
          <w:bCs/>
        </w:rPr>
        <w:t xml:space="preserve">Auditability.</w:t>
      </w:r>
      <w:r>
        <w:t xml:space="preserve"> </w:t>
      </w:r>
      <w:r>
        <w:t xml:space="preserve">Every slashable DAG event must leave durable evidence.</w:t>
      </w:r>
    </w:p>
    <w:p>
      <w:pPr>
        <w:pStyle w:val="FirstParagraph"/>
      </w:pPr>
      <w:r>
        <w:rPr>
          <w:b/>
          <w:bCs/>
        </w:rPr>
        <w:t xml:space="preserve">Source anchors:</w:t>
      </w:r>
      <w:r>
        <w:t xml:space="preserve"> </w:t>
      </w:r>
      <w:r>
        <w:rPr>
          <w:rStyle w:val="VerbatimChar"/>
        </w:rPr>
        <w:t xml:space="preserve">PoSy_updated.docx</w:t>
      </w:r>
      <w:r>
        <w:t xml:space="preserve">,</w:t>
      </w:r>
      <w:r>
        <w:t xml:space="preserve"> </w:t>
      </w:r>
      <w:r>
        <w:rPr>
          <w:rStyle w:val="VerbatimChar"/>
        </w:rPr>
        <w:t xml:space="preserve">03-proof-of-synergy-consensus.md</w:t>
      </w:r>
      <w:r>
        <w:t xml:space="preserve">,</w:t>
      </w:r>
      <w:r>
        <w:t xml:space="preserve"> </w:t>
      </w:r>
      <w:r>
        <w:rPr>
          <w:rStyle w:val="VerbatimChar"/>
        </w:rPr>
        <w:t xml:space="preserve">Synergy_Network_Roadmap (1).docx</w:t>
      </w:r>
      <w:r>
        <w:t xml:space="preserve">,</w:t>
      </w:r>
      <w:r>
        <w:t xml:space="preserve"> </w:t>
      </w:r>
      <w:r>
        <w:rPr>
          <w:rStyle w:val="VerbatimChar"/>
        </w:rPr>
        <w:t xml:space="preserve">Synergy_Network_Security_Implementation_Specification.docx</w:t>
      </w:r>
      <w:r>
        <w:t xml:space="preserve">,</w:t>
      </w:r>
      <w:r>
        <w:t xml:space="preserve"> </w:t>
      </w:r>
      <w:r>
        <w:rPr>
          <w:rStyle w:val="VerbatimChar"/>
        </w:rPr>
        <w:t xml:space="preserve">src/role_profiles.rs</w:t>
      </w:r>
      <w:r>
        <w:t xml:space="preserve">,</w:t>
      </w:r>
      <w:r>
        <w:t xml:space="preserve"> </w:t>
      </w:r>
      <w:r>
        <w:rPr>
          <w:rStyle w:val="VerbatimChar"/>
        </w:rPr>
        <w:t xml:space="preserve">src/p2p/networking.rs</w:t>
      </w:r>
      <w:r>
        <w:t xml:space="preserve">.</w:t>
      </w:r>
    </w:p>
    <w:bookmarkEnd w:id="47"/>
    <w:bookmarkEnd w:id="48"/>
    <w:bookmarkStart w:id="60" w:name="dependency-ordered-integration-roadmap"/>
    <w:p>
      <w:pPr>
        <w:pStyle w:val="Heading1"/>
      </w:pPr>
      <w:r>
        <w:t xml:space="preserve">Dependency-ordered integration roadmap</w:t>
      </w:r>
    </w:p>
    <w:p>
      <w:pPr>
        <w:pStyle w:val="FirstParagraph"/>
      </w:pPr>
      <w:r>
        <w:t xml:space="preserve">This section deliberately avoids forcing the work into an arbitrary phase count. The right implementation order is dictated by dependencies and security boundaries, not by presentation aesthetics.</w:t>
      </w:r>
    </w:p>
    <w:bookmarkStart w:id="49" w:name="X4b64f95914daafb4212f9cf5d919500f445c5e3"/>
    <w:p>
      <w:pPr>
        <w:pStyle w:val="Heading2"/>
      </w:pPr>
      <w:r>
        <w:t xml:space="preserve">1. Canonicalize current mismatches before writing DAG code</w:t>
      </w:r>
    </w:p>
    <w:p>
      <w:pPr>
        <w:pStyle w:val="FirstParagraph"/>
      </w:pPr>
      <w:r>
        <w:t xml:space="preserve">The current code and docs disagree on several parameters that directly affect DAG safety.</w:t>
      </w:r>
    </w:p>
    <w:p>
      <w:pPr>
        <w:pStyle w:val="Compact"/>
        <w:numPr>
          <w:ilvl w:val="0"/>
          <w:numId w:val="1017"/>
        </w:numPr>
      </w:pPr>
      <w:r>
        <w:t xml:space="preserve">Resolve the beta cluster size mismatch: source defaults say</w:t>
      </w:r>
      <w:r>
        <w:t xml:space="preserve"> </w:t>
      </w:r>
      <w:r>
        <w:rPr>
          <w:rStyle w:val="VerbatimChar"/>
        </w:rPr>
        <w:t xml:space="preserve">7</w:t>
      </w:r>
      <w:r>
        <w:t xml:space="preserve">, validator reorganization uses</w:t>
      </w:r>
      <w:r>
        <w:t xml:space="preserve"> </w:t>
      </w:r>
      <w:r>
        <w:rPr>
          <w:rStyle w:val="VerbatimChar"/>
        </w:rPr>
        <w:t xml:space="preserve">5</w:t>
      </w:r>
      <w:r>
        <w:t xml:space="preserve">, broader spec text often targets</w:t>
      </w:r>
      <w:r>
        <w:t xml:space="preserve"> </w:t>
      </w:r>
      <w:r>
        <w:rPr>
          <w:rStyle w:val="VerbatimChar"/>
        </w:rPr>
        <w:t xml:space="preserve">30</w:t>
      </w:r>
      <w:r>
        <w:t xml:space="preserve">.</w:t>
      </w:r>
    </w:p>
    <w:p>
      <w:pPr>
        <w:pStyle w:val="Compact"/>
        <w:numPr>
          <w:ilvl w:val="0"/>
          <w:numId w:val="1017"/>
        </w:numPr>
      </w:pPr>
      <w:r>
        <w:t xml:space="preserve">Resolve epoch cadence and randomness design before DAG parent selection depends on them.</w:t>
      </w:r>
    </w:p>
    <w:p>
      <w:pPr>
        <w:pStyle w:val="Compact"/>
        <w:numPr>
          <w:ilvl w:val="0"/>
          <w:numId w:val="1017"/>
        </w:numPr>
      </w:pPr>
      <w:r>
        <w:t xml:space="preserve">Decide whether beta DAG certificates are</w:t>
      </w:r>
      <w:r>
        <w:t xml:space="preserve"> </w:t>
      </w:r>
      <w:r>
        <w:rPr>
          <w:b/>
          <w:bCs/>
        </w:rPr>
        <w:t xml:space="preserve">identity-count thresholded</w:t>
      </w:r>
      <w:r>
        <w:t xml:space="preserve"> </w:t>
      </w:r>
      <w:r>
        <w:t xml:space="preserve">(</w:t>
      </w:r>
      <w:r>
        <w:rPr>
          <w:rStyle w:val="VerbatimChar"/>
        </w:rPr>
        <w:t xml:space="preserve">2f+1</w:t>
      </w:r>
      <w:r>
        <w:t xml:space="preserve">) while finality remains</w:t>
      </w:r>
      <w:r>
        <w:t xml:space="preserve"> </w:t>
      </w:r>
      <w:r>
        <w:rPr>
          <w:b/>
          <w:bCs/>
        </w:rPr>
        <w:t xml:space="preserve">synergy-weighted</w:t>
      </w:r>
      <w:r>
        <w:t xml:space="preserve">. That is the cleaner first-release design.</w:t>
      </w:r>
    </w:p>
    <w:p>
      <w:pPr>
        <w:pStyle w:val="Compact"/>
        <w:numPr>
          <w:ilvl w:val="0"/>
          <w:numId w:val="1017"/>
        </w:numPr>
      </w:pPr>
      <w:r>
        <w:t xml:space="preserve">Freeze the exact non-goals for release one: no global DAG, no speculative parallel execution as a first dependency, no new public ports by default.</w:t>
      </w:r>
    </w:p>
    <w:p>
      <w:pPr>
        <w:pStyle w:val="FirstParagraph"/>
      </w:pPr>
      <w:r>
        <w:rPr>
          <w:b/>
          <w:bCs/>
        </w:rPr>
        <w:t xml:space="preserve">Recommended output:</w:t>
      </w:r>
      <w:r>
        <w:t xml:space="preserve"> </w:t>
      </w:r>
      <w:r>
        <w:t xml:space="preserve">a short ADR pack plus a canonical config document that overrides stale defaults.</w:t>
      </w:r>
    </w:p>
    <w:bookmarkEnd w:id="49"/>
    <w:bookmarkStart w:id="50" w:name="add-a-dedicated-dag-module-and-stores"/>
    <w:p>
      <w:pPr>
        <w:pStyle w:val="Heading2"/>
      </w:pPr>
      <w:r>
        <w:t xml:space="preserve">2. Add a dedicated DAG module and stores</w:t>
      </w:r>
    </w:p>
    <w:p>
      <w:pPr>
        <w:pStyle w:val="FirstParagraph"/>
      </w:pPr>
      <w:r>
        <w:t xml:space="preserve">Create a new module tree such as</w:t>
      </w:r>
      <w:r>
        <w:t xml:space="preserve"> </w:t>
      </w:r>
      <w:r>
        <w:rPr>
          <w:rStyle w:val="VerbatimChar"/>
        </w:rPr>
        <w:t xml:space="preserve">src/dag/</w:t>
      </w:r>
      <w:r>
        <w:t xml:space="preserve"> </w:t>
      </w:r>
      <w:r>
        <w:t xml:space="preserve">or</w:t>
      </w:r>
      <w:r>
        <w:t xml:space="preserve"> </w:t>
      </w:r>
      <w:r>
        <w:rPr>
          <w:rStyle w:val="VerbatimChar"/>
        </w:rPr>
        <w:t xml:space="preserve">src/consensus/dag/</w:t>
      </w:r>
      <w:r>
        <w:t xml:space="preserve"> </w:t>
      </w:r>
      <w:r>
        <w:t xml:space="preserve">rather than burying DAG logic piecemeal inside the existing consensus file.</w:t>
      </w:r>
    </w:p>
    <w:p>
      <w:pPr>
        <w:pStyle w:val="BodyText"/>
      </w:pPr>
      <w:r>
        <w:t xml:space="preserve">At minimum, add:</w:t>
      </w:r>
    </w:p>
    <w:p>
      <w:pPr>
        <w:pStyle w:val="Compact"/>
        <w:numPr>
          <w:ilvl w:val="0"/>
          <w:numId w:val="1018"/>
        </w:numPr>
      </w:pPr>
      <w:r>
        <w:t xml:space="preserve">object definitions for batch, vertex, receipt, certificate, cut, checkpoint, evidence;</w:t>
      </w:r>
    </w:p>
    <w:p>
      <w:pPr>
        <w:pStyle w:val="Compact"/>
        <w:numPr>
          <w:ilvl w:val="0"/>
          <w:numId w:val="1018"/>
        </w:numPr>
      </w:pPr>
      <w:r>
        <w:t xml:space="preserve">a DAG store separate from canonical chain state;</w:t>
      </w:r>
    </w:p>
    <w:p>
      <w:pPr>
        <w:pStyle w:val="Compact"/>
        <w:numPr>
          <w:ilvl w:val="0"/>
          <w:numId w:val="1018"/>
        </w:numPr>
      </w:pPr>
      <w:r>
        <w:t xml:space="preserve">a batch/blob store for DA and archive roles;</w:t>
      </w:r>
    </w:p>
    <w:p>
      <w:pPr>
        <w:pStyle w:val="Compact"/>
        <w:numPr>
          <w:ilvl w:val="0"/>
          <w:numId w:val="1018"/>
        </w:numPr>
      </w:pPr>
      <w:r>
        <w:t xml:space="preserve">deterministic validation utilities for parent checks, expiry checks, and cut generation.</w:t>
      </w:r>
    </w:p>
    <w:p>
      <w:pPr>
        <w:pStyle w:val="FirstParagraph"/>
      </w:pPr>
      <w:r>
        <w:t xml:space="preserve">Do</w:t>
      </w:r>
      <w:r>
        <w:t xml:space="preserve"> </w:t>
      </w:r>
      <w:r>
        <w:rPr>
          <w:b/>
          <w:bCs/>
        </w:rPr>
        <w:t xml:space="preserve">not</w:t>
      </w:r>
      <w:r>
        <w:t xml:space="preserve"> </w:t>
      </w:r>
      <w:r>
        <w:t xml:space="preserve">overload</w:t>
      </w:r>
      <w:r>
        <w:t xml:space="preserve"> </w:t>
      </w:r>
      <w:r>
        <w:rPr>
          <w:rStyle w:val="VerbatimChar"/>
        </w:rPr>
        <w:t xml:space="preserve">TX_POOL</w:t>
      </w:r>
      <w:r>
        <w:t xml:space="preserve"> </w:t>
      </w:r>
      <w:r>
        <w:t xml:space="preserve">as the long-term DAG store. The current pool is a flat list and is cleared wholesale after commit. DAG rollout needs explicit per-batch lifecycle management.</w:t>
      </w:r>
    </w:p>
    <w:bookmarkEnd w:id="50"/>
    <w:bookmarkStart w:id="51" w:name="Xe56bb61eb9e2b4b1a946f75a8a723186a5ef813"/>
    <w:p>
      <w:pPr>
        <w:pStyle w:val="Heading2"/>
      </w:pPr>
      <w:r>
        <w:t xml:space="preserve">3. Extend the P2P message plane and cluster transport</w:t>
      </w:r>
    </w:p>
    <w:p>
      <w:pPr>
        <w:pStyle w:val="FirstParagraph"/>
      </w:pPr>
      <w:r>
        <w:t xml:space="preserve">Add new</w:t>
      </w:r>
      <w:r>
        <w:t xml:space="preserve"> </w:t>
      </w:r>
      <w:r>
        <w:rPr>
          <w:rStyle w:val="VerbatimChar"/>
        </w:rPr>
        <w:t xml:space="preserve">NetworkMessage</w:t>
      </w:r>
      <w:r>
        <w:t xml:space="preserve"> </w:t>
      </w:r>
      <w:r>
        <w:t xml:space="preserve">variants and keep them cluster-scoped wherever possible. The first release should support at least these categories:</w:t>
      </w:r>
    </w:p>
    <w:p>
      <w:pPr>
        <w:pStyle w:val="Compact"/>
        <w:numPr>
          <w:ilvl w:val="0"/>
          <w:numId w:val="1019"/>
        </w:numPr>
      </w:pPr>
      <w:r>
        <w:rPr>
          <w:rStyle w:val="VerbatimChar"/>
        </w:rPr>
        <w:t xml:space="preserve">DagVertex</w:t>
      </w:r>
    </w:p>
    <w:p>
      <w:pPr>
        <w:pStyle w:val="Compact"/>
        <w:numPr>
          <w:ilvl w:val="0"/>
          <w:numId w:val="1019"/>
        </w:numPr>
      </w:pPr>
      <w:r>
        <w:rPr>
          <w:rStyle w:val="VerbatimChar"/>
        </w:rPr>
        <w:t xml:space="preserve">RequestDagVertex</w:t>
      </w:r>
      <w:r>
        <w:t xml:space="preserve"> </w:t>
      </w:r>
      <w:r>
        <w:t xml:space="preserve">/</w:t>
      </w:r>
      <w:r>
        <w:t xml:space="preserve"> </w:t>
      </w:r>
      <w:r>
        <w:rPr>
          <w:rStyle w:val="VerbatimChar"/>
        </w:rPr>
        <w:t xml:space="preserve">DagVertices</w:t>
      </w:r>
    </w:p>
    <w:p>
      <w:pPr>
        <w:pStyle w:val="Compact"/>
        <w:numPr>
          <w:ilvl w:val="0"/>
          <w:numId w:val="1019"/>
        </w:numPr>
      </w:pPr>
      <w:r>
        <w:rPr>
          <w:rStyle w:val="VerbatimChar"/>
        </w:rPr>
        <w:t xml:space="preserve">FetchDagBatch</w:t>
      </w:r>
      <w:r>
        <w:t xml:space="preserve"> </w:t>
      </w:r>
      <w:r>
        <w:t xml:space="preserve">/</w:t>
      </w:r>
      <w:r>
        <w:t xml:space="preserve"> </w:t>
      </w:r>
      <w:r>
        <w:rPr>
          <w:rStyle w:val="VerbatimChar"/>
        </w:rPr>
        <w:t xml:space="preserve">DagBatchBlob</w:t>
      </w:r>
    </w:p>
    <w:p>
      <w:pPr>
        <w:pStyle w:val="Compact"/>
        <w:numPr>
          <w:ilvl w:val="0"/>
          <w:numId w:val="1019"/>
        </w:numPr>
      </w:pPr>
      <w:r>
        <w:rPr>
          <w:rStyle w:val="VerbatimChar"/>
        </w:rPr>
        <w:t xml:space="preserve">AvailabilityReceipt</w:t>
      </w:r>
    </w:p>
    <w:p>
      <w:pPr>
        <w:pStyle w:val="Compact"/>
        <w:numPr>
          <w:ilvl w:val="0"/>
          <w:numId w:val="1019"/>
        </w:numPr>
      </w:pPr>
      <w:r>
        <w:rPr>
          <w:rStyle w:val="VerbatimChar"/>
        </w:rPr>
        <w:t xml:space="preserve">DagCertificate</w:t>
      </w:r>
    </w:p>
    <w:p>
      <w:pPr>
        <w:pStyle w:val="Compact"/>
        <w:numPr>
          <w:ilvl w:val="0"/>
          <w:numId w:val="1019"/>
        </w:numPr>
      </w:pPr>
      <w:r>
        <w:rPr>
          <w:rStyle w:val="VerbatimChar"/>
        </w:rPr>
        <w:t xml:space="preserve">OrderingCutSummary</w:t>
      </w:r>
    </w:p>
    <w:p>
      <w:pPr>
        <w:pStyle w:val="Compact"/>
        <w:numPr>
          <w:ilvl w:val="0"/>
          <w:numId w:val="1019"/>
        </w:numPr>
      </w:pPr>
      <w:r>
        <w:rPr>
          <w:rStyle w:val="VerbatimChar"/>
        </w:rPr>
        <w:t xml:space="preserve">ClusterCheckpoint</w:t>
      </w:r>
    </w:p>
    <w:p>
      <w:pPr>
        <w:pStyle w:val="Compact"/>
        <w:numPr>
          <w:ilvl w:val="0"/>
          <w:numId w:val="1019"/>
        </w:numPr>
      </w:pPr>
      <w:r>
        <w:rPr>
          <w:rStyle w:val="VerbatimChar"/>
        </w:rPr>
        <w:t xml:space="preserve">DagEvidence</w:t>
      </w:r>
    </w:p>
    <w:p>
      <w:pPr>
        <w:pStyle w:val="FirstParagraph"/>
      </w:pPr>
      <w:r>
        <w:t xml:space="preserve">Reuse the existing handshake</w:t>
      </w:r>
      <w:r>
        <w:t xml:space="preserve"> </w:t>
      </w:r>
      <w:r>
        <w:rPr>
          <w:rStyle w:val="VerbatimChar"/>
        </w:rPr>
        <w:t xml:space="preserve">capabilities</w:t>
      </w:r>
      <w:r>
        <w:t xml:space="preserve"> </w:t>
      </w:r>
      <w:r>
        <w:t xml:space="preserve">field to negotiate support, for example:</w:t>
      </w:r>
    </w:p>
    <w:p>
      <w:pPr>
        <w:pStyle w:val="Compact"/>
        <w:numPr>
          <w:ilvl w:val="0"/>
          <w:numId w:val="1020"/>
        </w:numPr>
      </w:pPr>
      <w:r>
        <w:rPr>
          <w:rStyle w:val="VerbatimChar"/>
        </w:rPr>
        <w:t xml:space="preserve">dag-cert-v1</w:t>
      </w:r>
    </w:p>
    <w:p>
      <w:pPr>
        <w:pStyle w:val="Compact"/>
        <w:numPr>
          <w:ilvl w:val="0"/>
          <w:numId w:val="1020"/>
        </w:numPr>
      </w:pPr>
      <w:r>
        <w:rPr>
          <w:rStyle w:val="VerbatimChar"/>
        </w:rPr>
        <w:t xml:space="preserve">dag-archive-v1</w:t>
      </w:r>
    </w:p>
    <w:p>
      <w:pPr>
        <w:pStyle w:val="Compact"/>
        <w:numPr>
          <w:ilvl w:val="0"/>
          <w:numId w:val="1020"/>
        </w:numPr>
      </w:pPr>
      <w:r>
        <w:rPr>
          <w:rStyle w:val="VerbatimChar"/>
        </w:rPr>
        <w:t xml:space="preserve">dag-da-v1</w:t>
      </w:r>
    </w:p>
    <w:p>
      <w:pPr>
        <w:pStyle w:val="Compact"/>
        <w:numPr>
          <w:ilvl w:val="0"/>
          <w:numId w:val="1020"/>
        </w:numPr>
      </w:pPr>
      <w:r>
        <w:rPr>
          <w:rStyle w:val="VerbatimChar"/>
        </w:rPr>
        <w:t xml:space="preserve">dag-proof-export-v1</w:t>
      </w:r>
    </w:p>
    <w:p>
      <w:pPr>
        <w:pStyle w:val="FirstParagraph"/>
      </w:pPr>
      <w:r>
        <w:t xml:space="preserve">Keep transport discipline tight:</w:t>
      </w:r>
    </w:p>
    <w:p>
      <w:pPr>
        <w:pStyle w:val="Compact"/>
        <w:numPr>
          <w:ilvl w:val="0"/>
          <w:numId w:val="1021"/>
        </w:numPr>
      </w:pPr>
      <w:r>
        <w:t xml:space="preserve">one-author-one-vertex-per-round in beta;</w:t>
      </w:r>
    </w:p>
    <w:p>
      <w:pPr>
        <w:pStyle w:val="Compact"/>
        <w:numPr>
          <w:ilvl w:val="0"/>
          <w:numId w:val="1021"/>
        </w:numPr>
      </w:pPr>
      <w:r>
        <w:t xml:space="preserve">per-peer byte budgets;</w:t>
      </w:r>
    </w:p>
    <w:p>
      <w:pPr>
        <w:pStyle w:val="Compact"/>
        <w:numPr>
          <w:ilvl w:val="0"/>
          <w:numId w:val="1021"/>
        </w:numPr>
      </w:pPr>
      <w:r>
        <w:t xml:space="preserve">strict expiry windows;</w:t>
      </w:r>
    </w:p>
    <w:p>
      <w:pPr>
        <w:pStyle w:val="Compact"/>
        <w:numPr>
          <w:ilvl w:val="0"/>
          <w:numId w:val="1021"/>
        </w:numPr>
      </w:pPr>
      <w:r>
        <w:t xml:space="preserve">parent-diversity rules;</w:t>
      </w:r>
    </w:p>
    <w:p>
      <w:pPr>
        <w:pStyle w:val="Compact"/>
        <w:numPr>
          <w:ilvl w:val="0"/>
          <w:numId w:val="1021"/>
        </w:numPr>
      </w:pPr>
      <w:r>
        <w:t xml:space="preserve">no receipt unless the batch is durably retrievable.</w:t>
      </w:r>
    </w:p>
    <w:bookmarkEnd w:id="51"/>
    <w:bookmarkStart w:id="52" w:name="X14a6190081d6719d11d681fd3eb3b022f77e96d"/>
    <w:p>
      <w:pPr>
        <w:pStyle w:val="Heading2"/>
      </w:pPr>
      <w:r>
        <w:t xml:space="preserve">4. Insert DAG-certified ordering into the proposer and validator path</w:t>
      </w:r>
    </w:p>
    <w:p>
      <w:pPr>
        <w:pStyle w:val="FirstParagraph"/>
      </w:pPr>
      <w:r>
        <w:t xml:space="preserve">This is the most important runtime change.</w:t>
      </w:r>
    </w:p>
    <w:p>
      <w:pPr>
        <w:pStyle w:val="BodyText"/>
      </w:pPr>
      <w:r>
        <w:t xml:space="preserve">In</w:t>
      </w:r>
      <w:r>
        <w:t xml:space="preserve"> </w:t>
      </w:r>
      <w:r>
        <w:rPr>
          <w:rStyle w:val="VerbatimChar"/>
        </w:rPr>
        <w:t xml:space="preserve">consensus_algorithm.rs</w:t>
      </w:r>
      <w:r>
        <w:t xml:space="preserve">:</w:t>
      </w:r>
    </w:p>
    <w:p>
      <w:pPr>
        <w:pStyle w:val="Compact"/>
        <w:numPr>
          <w:ilvl w:val="0"/>
          <w:numId w:val="1022"/>
        </w:numPr>
      </w:pPr>
      <w:r>
        <w:t xml:space="preserve">replace direct block assembly from</w:t>
      </w:r>
      <w:r>
        <w:t xml:space="preserve"> </w:t>
      </w:r>
      <w:r>
        <w:rPr>
          <w:rStyle w:val="VerbatimChar"/>
        </w:rPr>
        <w:t xml:space="preserve">TX_POOL</w:t>
      </w:r>
      <w:r>
        <w:t xml:space="preserve"> </w:t>
      </w:r>
      <w:r>
        <w:t xml:space="preserve">with block assembly from a certified ordering cut;</w:t>
      </w:r>
    </w:p>
    <w:p>
      <w:pPr>
        <w:pStyle w:val="Compact"/>
        <w:numPr>
          <w:ilvl w:val="0"/>
          <w:numId w:val="1022"/>
        </w:numPr>
      </w:pPr>
      <w:r>
        <w:t xml:space="preserve">keep leader selection and block timing under PoSy unless and until you deliberately redesign them;</w:t>
      </w:r>
    </w:p>
    <w:p>
      <w:pPr>
        <w:pStyle w:val="Compact"/>
        <w:numPr>
          <w:ilvl w:val="0"/>
          <w:numId w:val="1022"/>
        </w:numPr>
      </w:pPr>
      <w:r>
        <w:t xml:space="preserve">keep the QC finality path unchanged for the first release.</w:t>
      </w:r>
    </w:p>
    <w:p>
      <w:pPr>
        <w:pStyle w:val="FirstParagraph"/>
      </w:pPr>
      <w:r>
        <w:t xml:space="preserve">In</w:t>
      </w:r>
      <w:r>
        <w:t xml:space="preserve"> </w:t>
      </w:r>
      <w:r>
        <w:rPr>
          <w:rStyle w:val="VerbatimChar"/>
        </w:rPr>
        <w:t xml:space="preserve">block.rs</w:t>
      </w:r>
      <w:r>
        <w:t xml:space="preserve">:</w:t>
      </w:r>
    </w:p>
    <w:p>
      <w:pPr>
        <w:pStyle w:val="Compact"/>
        <w:numPr>
          <w:ilvl w:val="0"/>
          <w:numId w:val="1023"/>
        </w:numPr>
      </w:pPr>
      <w:r>
        <w:t xml:space="preserve">add header commitments for ordering cut and availability roots;</w:t>
      </w:r>
    </w:p>
    <w:p>
      <w:pPr>
        <w:pStyle w:val="Compact"/>
        <w:numPr>
          <w:ilvl w:val="0"/>
          <w:numId w:val="1023"/>
        </w:numPr>
      </w:pPr>
      <w:r>
        <w:t xml:space="preserve">update block hashing and validation logic carefully;</w:t>
      </w:r>
    </w:p>
    <w:p>
      <w:pPr>
        <w:pStyle w:val="Compact"/>
        <w:numPr>
          <w:ilvl w:val="0"/>
          <w:numId w:val="1023"/>
        </w:numPr>
      </w:pPr>
      <w:r>
        <w:t xml:space="preserve">version the block format if necessary so migration is explicit.</w:t>
      </w:r>
    </w:p>
    <w:p>
      <w:pPr>
        <w:pStyle w:val="FirstParagraph"/>
      </w:pPr>
      <w:r>
        <w:t xml:space="preserve">In validator verification:</w:t>
      </w:r>
    </w:p>
    <w:p>
      <w:pPr>
        <w:pStyle w:val="Compact"/>
        <w:numPr>
          <w:ilvl w:val="0"/>
          <w:numId w:val="1024"/>
        </w:numPr>
      </w:pPr>
      <w:r>
        <w:t xml:space="preserve">verify certificate validity;</w:t>
      </w:r>
    </w:p>
    <w:p>
      <w:pPr>
        <w:pStyle w:val="Compact"/>
        <w:numPr>
          <w:ilvl w:val="0"/>
          <w:numId w:val="1024"/>
        </w:numPr>
      </w:pPr>
      <w:r>
        <w:t xml:space="preserve">verify parent consistency and epoch scope;</w:t>
      </w:r>
    </w:p>
    <w:p>
      <w:pPr>
        <w:pStyle w:val="Compact"/>
        <w:numPr>
          <w:ilvl w:val="0"/>
          <w:numId w:val="1024"/>
        </w:numPr>
      </w:pPr>
      <w:r>
        <w:t xml:space="preserve">verify deterministic cut construction;</w:t>
      </w:r>
    </w:p>
    <w:p>
      <w:pPr>
        <w:pStyle w:val="Compact"/>
        <w:numPr>
          <w:ilvl w:val="0"/>
          <w:numId w:val="1024"/>
        </w:numPr>
      </w:pPr>
      <w:r>
        <w:t xml:space="preserve">verify transaction root agreement with the cut;</w:t>
      </w:r>
    </w:p>
    <w:p>
      <w:pPr>
        <w:pStyle w:val="Compact"/>
        <w:numPr>
          <w:ilvl w:val="0"/>
          <w:numId w:val="1024"/>
        </w:numPr>
      </w:pPr>
      <w:r>
        <w:t xml:space="preserve">then verify state transition and proceed to QC voting.</w:t>
      </w:r>
    </w:p>
    <w:bookmarkEnd w:id="52"/>
    <w:bookmarkStart w:id="56" w:name="Xec68da921cf976275247080643a9b58346279ca"/>
    <w:p>
      <w:pPr>
        <w:pStyle w:val="Heading2"/>
      </w:pPr>
      <w:r>
        <w:t xml:space="preserve">5. Tighten entropy, cluster math, and anti-cartel evidence</w:t>
      </w:r>
    </w:p>
    <w:p>
      <w:pPr>
        <w:pStyle w:val="FirstParagraph"/>
      </w:pPr>
      <w:r>
        <w:t xml:space="preserve">The existing source bundle already exposes three places where DAG rollout would be unsafe without fixes.</w:t>
      </w:r>
    </w:p>
    <w:bookmarkStart w:id="53" w:name="Xf1f4c6b859ec2609cc008ae592ba1386b856066"/>
    <w:p>
      <w:pPr>
        <w:pStyle w:val="Heading3"/>
      </w:pPr>
      <w:r>
        <w:t xml:space="preserve">Replace wall-clock randomness in shared ordering decisions</w:t>
      </w:r>
    </w:p>
    <w:p>
      <w:pPr>
        <w:pStyle w:val="FirstParagraph"/>
      </w:pPr>
      <w:r>
        <w:t xml:space="preserve">Epoch randomness used by multiple validators must be derived from canonical shared inputs only. Remove local wall-clock dependence from any randomness that influences parent selection, leader selection, or ordering rules.</w:t>
      </w:r>
    </w:p>
    <w:bookmarkEnd w:id="53"/>
    <w:bookmarkStart w:id="54" w:name="X45fbcec856fb149b135be2a9d866afc786a436a"/>
    <w:p>
      <w:pPr>
        <w:pStyle w:val="Heading3"/>
      </w:pPr>
      <w:r>
        <w:t xml:space="preserve">Canonicalize cluster size and threshold math</w:t>
      </w:r>
    </w:p>
    <w:p>
      <w:pPr>
        <w:pStyle w:val="FirstParagraph"/>
      </w:pPr>
      <w:r>
        <w:t xml:space="preserve">Use a single source of truth for:</w:t>
      </w:r>
    </w:p>
    <w:p>
      <w:pPr>
        <w:pStyle w:val="Compact"/>
        <w:numPr>
          <w:ilvl w:val="0"/>
          <w:numId w:val="1025"/>
        </w:numPr>
      </w:pPr>
      <w:r>
        <w:t xml:space="preserve">cluster size;</w:t>
      </w:r>
    </w:p>
    <w:p>
      <w:pPr>
        <w:pStyle w:val="Compact"/>
        <w:numPr>
          <w:ilvl w:val="0"/>
          <w:numId w:val="1025"/>
        </w:numPr>
      </w:pPr>
      <w:r>
        <w:t xml:space="preserve">receipt threshold;</w:t>
      </w:r>
    </w:p>
    <w:p>
      <w:pPr>
        <w:pStyle w:val="Compact"/>
        <w:numPr>
          <w:ilvl w:val="0"/>
          <w:numId w:val="1025"/>
        </w:numPr>
      </w:pPr>
      <w:r>
        <w:t xml:space="preserve">quorum threshold;</w:t>
      </w:r>
    </w:p>
    <w:p>
      <w:pPr>
        <w:pStyle w:val="Compact"/>
        <w:numPr>
          <w:ilvl w:val="0"/>
          <w:numId w:val="1025"/>
        </w:numPr>
      </w:pPr>
      <w:r>
        <w:t xml:space="preserve">archive and audit retention depth;</w:t>
      </w:r>
    </w:p>
    <w:p>
      <w:pPr>
        <w:pStyle w:val="Compact"/>
        <w:numPr>
          <w:ilvl w:val="0"/>
          <w:numId w:val="1025"/>
        </w:numPr>
      </w:pPr>
      <w:r>
        <w:t xml:space="preserve">censorship and parent-diversity expectations.</w:t>
      </w:r>
    </w:p>
    <w:bookmarkEnd w:id="54"/>
    <w:bookmarkStart w:id="55" w:name="Xd5e17ba70bee5a42e4bbe14bd5dd5af71a8c78a"/>
    <w:p>
      <w:pPr>
        <w:pStyle w:val="Heading3"/>
      </w:pPr>
      <w:r>
        <w:t xml:space="preserve">Upgrade cartel and censorship evidence collection</w:t>
      </w:r>
    </w:p>
    <w:p>
      <w:pPr>
        <w:pStyle w:val="FirstParagraph"/>
      </w:pPr>
      <w:r>
        <w:t xml:space="preserve">Current anti-cartel logic is not enough for DAG. Add evidence capture for:</w:t>
      </w:r>
    </w:p>
    <w:p>
      <w:pPr>
        <w:pStyle w:val="Compact"/>
        <w:numPr>
          <w:ilvl w:val="0"/>
          <w:numId w:val="1026"/>
        </w:numPr>
      </w:pPr>
      <w:r>
        <w:t xml:space="preserve">same-author same-round equivocation;</w:t>
      </w:r>
    </w:p>
    <w:p>
      <w:pPr>
        <w:pStyle w:val="Compact"/>
        <w:numPr>
          <w:ilvl w:val="0"/>
          <w:numId w:val="1026"/>
        </w:numPr>
      </w:pPr>
      <w:r>
        <w:t xml:space="preserve">private conflicting frontiers;</w:t>
      </w:r>
    </w:p>
    <w:p>
      <w:pPr>
        <w:pStyle w:val="Compact"/>
        <w:numPr>
          <w:ilvl w:val="0"/>
          <w:numId w:val="1026"/>
        </w:numPr>
      </w:pPr>
      <w:r>
        <w:t xml:space="preserve">repeated omission of eligible certified vertices;</w:t>
      </w:r>
    </w:p>
    <w:p>
      <w:pPr>
        <w:pStyle w:val="Compact"/>
        <w:numPr>
          <w:ilvl w:val="0"/>
          <w:numId w:val="1026"/>
        </w:numPr>
      </w:pPr>
      <w:r>
        <w:t xml:space="preserve">suspicious parent concentration;</w:t>
      </w:r>
    </w:p>
    <w:p>
      <w:pPr>
        <w:pStyle w:val="Compact"/>
        <w:numPr>
          <w:ilvl w:val="0"/>
          <w:numId w:val="1026"/>
        </w:numPr>
      </w:pPr>
      <w:r>
        <w:t xml:space="preserve">repeated false availability claims.</w:t>
      </w:r>
    </w:p>
    <w:bookmarkEnd w:id="55"/>
    <w:bookmarkEnd w:id="56"/>
    <w:bookmarkStart w:id="57" w:name="Xf1ec4aceb7b3e36f5c4a059f22530c4dbf06d39"/>
    <w:p>
      <w:pPr>
        <w:pStyle w:val="Heading2"/>
      </w:pPr>
      <w:r>
        <w:t xml:space="preserve">6. Extend sync, archive, audit, and DA services</w:t>
      </w:r>
    </w:p>
    <w:p>
      <w:pPr>
        <w:pStyle w:val="FirstParagraph"/>
      </w:pPr>
      <w:r>
        <w:t xml:space="preserve">The current sync stack is chain-first. DAG rollout needs bounded artifact sync.</w:t>
      </w:r>
    </w:p>
    <w:p>
      <w:pPr>
        <w:pStyle w:val="BodyText"/>
      </w:pPr>
      <w:r>
        <w:t xml:space="preserve">Recommended split:</w:t>
      </w:r>
    </w:p>
    <w:p>
      <w:pPr>
        <w:pStyle w:val="Compact"/>
        <w:numPr>
          <w:ilvl w:val="0"/>
          <w:numId w:val="1027"/>
        </w:numPr>
      </w:pPr>
      <w:r>
        <w:rPr>
          <w:b/>
          <w:bCs/>
        </w:rPr>
        <w:t xml:space="preserve">live validators</w:t>
      </w:r>
      <w:r>
        <w:t xml:space="preserve"> </w:t>
      </w:r>
      <w:r>
        <w:t xml:space="preserve">keep only the working frontier plus bounded retention;</w:t>
      </w:r>
    </w:p>
    <w:p>
      <w:pPr>
        <w:pStyle w:val="Compact"/>
        <w:numPr>
          <w:ilvl w:val="0"/>
          <w:numId w:val="1027"/>
        </w:numPr>
      </w:pPr>
      <w:r>
        <w:rPr>
          <w:b/>
          <w:bCs/>
        </w:rPr>
        <w:t xml:space="preserve">archive validators</w:t>
      </w:r>
      <w:r>
        <w:t xml:space="preserve"> </w:t>
      </w:r>
      <w:r>
        <w:t xml:space="preserve">keep full finalized DAG history and batch blobs;</w:t>
      </w:r>
    </w:p>
    <w:p>
      <w:pPr>
        <w:pStyle w:val="Compact"/>
        <w:numPr>
          <w:ilvl w:val="0"/>
          <w:numId w:val="1027"/>
        </w:numPr>
      </w:pPr>
      <w:r>
        <w:rPr>
          <w:b/>
          <w:bCs/>
        </w:rPr>
        <w:t xml:space="preserve">audit validators</w:t>
      </w:r>
      <w:r>
        <w:t xml:space="preserve"> </w:t>
      </w:r>
      <w:r>
        <w:t xml:space="preserve">keep replay material and slashable evidence;</w:t>
      </w:r>
    </w:p>
    <w:p>
      <w:pPr>
        <w:pStyle w:val="Compact"/>
        <w:numPr>
          <w:ilvl w:val="0"/>
          <w:numId w:val="1027"/>
        </w:numPr>
      </w:pPr>
      <w:r>
        <w:rPr>
          <w:b/>
          <w:bCs/>
        </w:rPr>
        <w:t xml:space="preserve">data-availability nodes</w:t>
      </w:r>
      <w:r>
        <w:t xml:space="preserve"> </w:t>
      </w:r>
      <w:r>
        <w:t xml:space="preserve">serve blobs, repair missing data, and index proofs.</w:t>
      </w:r>
    </w:p>
    <w:p>
      <w:pPr>
        <w:pStyle w:val="FirstParagraph"/>
      </w:pPr>
      <w:r>
        <w:t xml:space="preserve">This is operationally aligned with the existing role system, which already names these roles. The missing piece is implementation.</w:t>
      </w:r>
    </w:p>
    <w:bookmarkEnd w:id="57"/>
    <w:bookmarkStart w:id="58" w:name="X809950edb931a96d84e0735c8a0416e4a385295"/>
    <w:p>
      <w:pPr>
        <w:pStyle w:val="Heading2"/>
      </w:pPr>
      <w:r>
        <w:t xml:space="preserve">7. Extend RPC, explorer, and wallet semantics honestly</w:t>
      </w:r>
    </w:p>
    <w:p>
      <w:pPr>
        <w:pStyle w:val="FirstParagraph"/>
      </w:pPr>
      <w:r>
        <w:t xml:space="preserve">Do not blur DAG acceptance and settlement in client-facing APIs.</w:t>
      </w:r>
    </w:p>
    <w:p>
      <w:pPr>
        <w:pStyle w:val="BodyText"/>
      </w:pPr>
      <w:r>
        <w:t xml:space="preserve">Keep finalized-chain APIs stable where possible, then add read-only DAG diagnostics such as:</w:t>
      </w:r>
    </w:p>
    <w:p>
      <w:pPr>
        <w:pStyle w:val="Compact"/>
        <w:numPr>
          <w:ilvl w:val="0"/>
          <w:numId w:val="1028"/>
        </w:numPr>
      </w:pPr>
      <w:r>
        <w:rPr>
          <w:rStyle w:val="VerbatimChar"/>
        </w:rPr>
        <w:t xml:space="preserve">synergy_getDagStatus</w:t>
      </w:r>
    </w:p>
    <w:p>
      <w:pPr>
        <w:pStyle w:val="Compact"/>
        <w:numPr>
          <w:ilvl w:val="0"/>
          <w:numId w:val="1028"/>
        </w:numPr>
      </w:pPr>
      <w:r>
        <w:rPr>
          <w:rStyle w:val="VerbatimChar"/>
        </w:rPr>
        <w:t xml:space="preserve">synergy_getClusterDagHead</w:t>
      </w:r>
    </w:p>
    <w:p>
      <w:pPr>
        <w:pStyle w:val="Compact"/>
        <w:numPr>
          <w:ilvl w:val="0"/>
          <w:numId w:val="1028"/>
        </w:numPr>
      </w:pPr>
      <w:r>
        <w:rPr>
          <w:rStyle w:val="VerbatimChar"/>
        </w:rPr>
        <w:t xml:space="preserve">synergy_getDagVertex</w:t>
      </w:r>
    </w:p>
    <w:p>
      <w:pPr>
        <w:pStyle w:val="Compact"/>
        <w:numPr>
          <w:ilvl w:val="0"/>
          <w:numId w:val="1028"/>
        </w:numPr>
      </w:pPr>
      <w:r>
        <w:rPr>
          <w:rStyle w:val="VerbatimChar"/>
        </w:rPr>
        <w:t xml:space="preserve">synergy_getDagCertificate</w:t>
      </w:r>
    </w:p>
    <w:p>
      <w:pPr>
        <w:pStyle w:val="Compact"/>
        <w:numPr>
          <w:ilvl w:val="0"/>
          <w:numId w:val="1028"/>
        </w:numPr>
      </w:pPr>
      <w:r>
        <w:rPr>
          <w:rStyle w:val="VerbatimChar"/>
        </w:rPr>
        <w:t xml:space="preserve">synergy_getDagConflicts</w:t>
      </w:r>
    </w:p>
    <w:p>
      <w:pPr>
        <w:pStyle w:val="Compact"/>
        <w:numPr>
          <w:ilvl w:val="0"/>
          <w:numId w:val="1028"/>
        </w:numPr>
      </w:pPr>
      <w:r>
        <w:rPr>
          <w:rStyle w:val="VerbatimChar"/>
        </w:rPr>
        <w:t xml:space="preserve">synergy_getClusterDagHealth</w:t>
      </w:r>
    </w:p>
    <w:p>
      <w:pPr>
        <w:pStyle w:val="Compact"/>
        <w:numPr>
          <w:ilvl w:val="0"/>
          <w:numId w:val="1028"/>
        </w:numPr>
      </w:pPr>
      <w:r>
        <w:rPr>
          <w:rStyle w:val="VerbatimChar"/>
        </w:rPr>
        <w:t xml:space="preserve">synergy_getOrderingCut</w:t>
      </w:r>
    </w:p>
    <w:p>
      <w:pPr>
        <w:pStyle w:val="Compact"/>
        <w:numPr>
          <w:ilvl w:val="0"/>
          <w:numId w:val="1028"/>
        </w:numPr>
      </w:pPr>
      <w:r>
        <w:rPr>
          <w:rStyle w:val="VerbatimChar"/>
        </w:rPr>
        <w:t xml:space="preserve">synergy_getDagEvidence</w:t>
      </w:r>
    </w:p>
    <w:p>
      <w:pPr>
        <w:pStyle w:val="FirstParagraph"/>
      </w:pPr>
      <w:r>
        <w:t xml:space="preserve">Also add a transaction lifecycle that is honest about provisional states, for example:</w:t>
      </w:r>
    </w:p>
    <w:p>
      <w:pPr>
        <w:pStyle w:val="Compact"/>
        <w:numPr>
          <w:ilvl w:val="0"/>
          <w:numId w:val="1029"/>
        </w:numPr>
      </w:pPr>
      <w:r>
        <w:t xml:space="preserve">received</w:t>
      </w:r>
    </w:p>
    <w:p>
      <w:pPr>
        <w:pStyle w:val="Compact"/>
        <w:numPr>
          <w:ilvl w:val="0"/>
          <w:numId w:val="1029"/>
        </w:numPr>
      </w:pPr>
      <w:r>
        <w:t xml:space="preserve">batched</w:t>
      </w:r>
    </w:p>
    <w:p>
      <w:pPr>
        <w:pStyle w:val="Compact"/>
        <w:numPr>
          <w:ilvl w:val="0"/>
          <w:numId w:val="1029"/>
        </w:numPr>
      </w:pPr>
      <w:r>
        <w:t xml:space="preserve">dag-accepted</w:t>
      </w:r>
    </w:p>
    <w:p>
      <w:pPr>
        <w:pStyle w:val="Compact"/>
        <w:numPr>
          <w:ilvl w:val="0"/>
          <w:numId w:val="1029"/>
        </w:numPr>
      </w:pPr>
      <w:r>
        <w:t xml:space="preserve">availability-certified</w:t>
      </w:r>
    </w:p>
    <w:p>
      <w:pPr>
        <w:pStyle w:val="Compact"/>
        <w:numPr>
          <w:ilvl w:val="0"/>
          <w:numId w:val="1029"/>
        </w:numPr>
      </w:pPr>
      <w:r>
        <w:t xml:space="preserve">ordered</w:t>
      </w:r>
    </w:p>
    <w:p>
      <w:pPr>
        <w:pStyle w:val="Compact"/>
        <w:numPr>
          <w:ilvl w:val="0"/>
          <w:numId w:val="1029"/>
        </w:numPr>
      </w:pPr>
      <w:r>
        <w:t xml:space="preserve">QC-finalized</w:t>
      </w:r>
    </w:p>
    <w:p>
      <w:pPr>
        <w:pStyle w:val="Compact"/>
        <w:numPr>
          <w:ilvl w:val="0"/>
          <w:numId w:val="1029"/>
        </w:numPr>
      </w:pPr>
      <w:r>
        <w:t xml:space="preserve">executed</w:t>
      </w:r>
    </w:p>
    <w:bookmarkEnd w:id="58"/>
    <w:bookmarkStart w:id="59" w:name="Xf4796f43ed46681ae4e2ebaa2f1055a6dc1522c"/>
    <w:p>
      <w:pPr>
        <w:pStyle w:val="Heading2"/>
      </w:pPr>
      <w:r>
        <w:t xml:space="preserve">8. Roll out in an order that contains blast radius</w:t>
      </w:r>
    </w:p>
    <w:p>
      <w:pPr>
        <w:pStyle w:val="FirstParagraph"/>
      </w:pPr>
      <w:r>
        <w:t xml:space="preserve">A practical rollout sequence is:</w:t>
      </w:r>
    </w:p>
    <w:p>
      <w:pPr>
        <w:pStyle w:val="Compact"/>
        <w:numPr>
          <w:ilvl w:val="0"/>
          <w:numId w:val="1030"/>
        </w:numPr>
      </w:pPr>
      <w:r>
        <w:t xml:space="preserve">single-cluster lab run with archive and audit roles;</w:t>
      </w:r>
    </w:p>
    <w:p>
      <w:pPr>
        <w:pStyle w:val="Compact"/>
        <w:numPr>
          <w:ilvl w:val="0"/>
          <w:numId w:val="1030"/>
        </w:numPr>
      </w:pPr>
      <w:r>
        <w:t xml:space="preserve">two-cluster internal run with checkpoint export only;</w:t>
      </w:r>
    </w:p>
    <w:p>
      <w:pPr>
        <w:pStyle w:val="Compact"/>
        <w:numPr>
          <w:ilvl w:val="0"/>
          <w:numId w:val="1030"/>
        </w:numPr>
      </w:pPr>
      <w:r>
        <w:t xml:space="preserve">adversarial simulation: equivocation, stale replay, withholding, censorship, spam, partition, bridge loss;</w:t>
      </w:r>
    </w:p>
    <w:p>
      <w:pPr>
        <w:pStyle w:val="Compact"/>
        <w:numPr>
          <w:ilvl w:val="0"/>
          <w:numId w:val="1030"/>
        </w:numPr>
      </w:pPr>
      <w:r>
        <w:t xml:space="preserve">canary beta cluster with rollback guardrails;</w:t>
      </w:r>
    </w:p>
    <w:p>
      <w:pPr>
        <w:pStyle w:val="Compact"/>
        <w:numPr>
          <w:ilvl w:val="0"/>
          <w:numId w:val="1030"/>
        </w:numPr>
      </w:pPr>
      <w:r>
        <w:t xml:space="preserve">wider beta enablement only after replay and evidence export are stable.</w:t>
      </w:r>
    </w:p>
    <w:p>
      <w:pPr>
        <w:pStyle w:val="FirstParagraph"/>
      </w:pPr>
      <w:r>
        <w:t xml:space="preserve">Do not ship release one with speculative parallel execution if the dissemination DAG is not already stable. Deterministic execution DAG work can come later.</w:t>
      </w:r>
    </w:p>
    <w:p>
      <w:pPr>
        <w:pStyle w:val="BodyText"/>
      </w:pPr>
      <w:r>
        <w:rPr>
          <w:b/>
          <w:bCs/>
        </w:rPr>
        <w:t xml:space="preserve">Source anchors:</w:t>
      </w:r>
      <w:r>
        <w:t xml:space="preserve"> </w:t>
      </w:r>
      <w:r>
        <w:rPr>
          <w:rStyle w:val="VerbatimChar"/>
        </w:rPr>
        <w:t xml:space="preserve">src/consensus/consensus_algorithm.rs</w:t>
      </w:r>
      <w:r>
        <w:t xml:space="preserve">,</w:t>
      </w:r>
      <w:r>
        <w:t xml:space="preserve"> </w:t>
      </w:r>
      <w:r>
        <w:rPr>
          <w:rStyle w:val="VerbatimChar"/>
        </w:rPr>
        <w:t xml:space="preserve">src/consensus/dual_quorum.rs</w:t>
      </w:r>
      <w:r>
        <w:t xml:space="preserve">,</w:t>
      </w:r>
      <w:r>
        <w:t xml:space="preserve"> </w:t>
      </w:r>
      <w:r>
        <w:rPr>
          <w:rStyle w:val="VerbatimChar"/>
        </w:rPr>
        <w:t xml:space="preserve">src/p2p/messages.rs</w:t>
      </w:r>
      <w:r>
        <w:t xml:space="preserve">,</w:t>
      </w:r>
      <w:r>
        <w:t xml:space="preserve"> </w:t>
      </w:r>
      <w:r>
        <w:rPr>
          <w:rStyle w:val="VerbatimChar"/>
        </w:rPr>
        <w:t xml:space="preserve">src/p2p/networking.rs</w:t>
      </w:r>
      <w:r>
        <w:t xml:space="preserve">,</w:t>
      </w:r>
      <w:r>
        <w:t xml:space="preserve"> </w:t>
      </w:r>
      <w:r>
        <w:rPr>
          <w:rStyle w:val="VerbatimChar"/>
        </w:rPr>
        <w:t xml:space="preserve">src/sync/manager.rs</w:t>
      </w:r>
      <w:r>
        <w:t xml:space="preserve">,</w:t>
      </w:r>
      <w:r>
        <w:t xml:space="preserve"> </w:t>
      </w:r>
      <w:r>
        <w:rPr>
          <w:rStyle w:val="VerbatimChar"/>
        </w:rPr>
        <w:t xml:space="preserve">src/block.rs</w:t>
      </w:r>
      <w:r>
        <w:t xml:space="preserve">,</w:t>
      </w:r>
      <w:r>
        <w:t xml:space="preserve"> </w:t>
      </w:r>
      <w:r>
        <w:rPr>
          <w:rStyle w:val="VerbatimChar"/>
        </w:rPr>
        <w:t xml:space="preserve">src/role_profiles.rs</w:t>
      </w:r>
      <w:r>
        <w:t xml:space="preserve">,</w:t>
      </w:r>
      <w:r>
        <w:t xml:space="preserve"> </w:t>
      </w:r>
      <w:r>
        <w:rPr>
          <w:rStyle w:val="VerbatimChar"/>
        </w:rPr>
        <w:t xml:space="preserve">Synergy_Network_Roadmap (1).docx</w:t>
      </w:r>
      <w:r>
        <w:t xml:space="preserve">,</w:t>
      </w:r>
      <w:r>
        <w:t xml:space="preserve"> </w:t>
      </w:r>
      <w:r>
        <w:rPr>
          <w:rStyle w:val="VerbatimChar"/>
        </w:rPr>
        <w:t xml:space="preserve">Synergy_Network_Security_Implementation_Specification.docx</w:t>
      </w:r>
      <w:r>
        <w:t xml:space="preserve">.</w:t>
      </w:r>
    </w:p>
    <w:bookmarkEnd w:id="59"/>
    <w:bookmarkEnd w:id="60"/>
    <w:bookmarkStart w:id="67" w:name="dag-specific-security-enforcement-plan"/>
    <w:p>
      <w:pPr>
        <w:pStyle w:val="Heading1"/>
      </w:pPr>
      <w:r>
        <w:t xml:space="preserve">DAG-specific security enforcement plan</w:t>
      </w:r>
    </w:p>
    <w:p>
      <w:pPr>
        <w:pStyle w:val="FirstParagraph"/>
      </w:pPr>
      <w:r>
        <w:t xml:space="preserve">DAG systems fail in different ways than plain linear chains. The right response is not to fear DAGs in the abstract; it is to reject insecure DAG variants and enforce the right controls at the right layers.</w:t>
      </w:r>
    </w:p>
    <w:p>
      <w:pPr>
        <w:pStyle w:val="CaptionedFigure"/>
      </w:pPr>
      <w:r>
        <w:drawing>
          <wp:inline>
            <wp:extent cx="3527552" cy="6554928"/>
            <wp:effectExtent b="0" l="0" r="0" t="0"/>
            <wp:docPr descr="Security enforcement layers for a Synergy cluster DAG" title="" id="62" name="Picture"/>
            <a:graphic>
              <a:graphicData uri="http://schemas.openxmlformats.org/drawingml/2006/picture">
                <pic:pic>
                  <pic:nvPicPr>
                    <pic:cNvPr descr="/mnt/data/merged_report_assets/chart5.png" id="63" name="Picture"/>
                    <pic:cNvPicPr>
                      <a:picLocks noChangeArrowheads="1" noChangeAspect="1"/>
                    </pic:cNvPicPr>
                  </pic:nvPicPr>
                  <pic:blipFill>
                    <a:blip r:embed="rId61"/>
                    <a:stretch>
                      <a:fillRect/>
                    </a:stretch>
                  </pic:blipFill>
                  <pic:spPr bwMode="auto">
                    <a:xfrm>
                      <a:off x="0" y="0"/>
                      <a:ext cx="3527552" cy="6554928"/>
                    </a:xfrm>
                    <a:prstGeom prst="rect">
                      <a:avLst/>
                    </a:prstGeom>
                    <a:noFill/>
                    <a:ln w="9525">
                      <a:noFill/>
                      <a:headEnd/>
                      <a:tailEnd/>
                    </a:ln>
                  </pic:spPr>
                </pic:pic>
              </a:graphicData>
            </a:graphic>
          </wp:inline>
        </w:drawing>
      </w:r>
    </w:p>
    <w:p>
      <w:pPr>
        <w:pStyle w:val="ImageCaption"/>
      </w:pPr>
      <w:r>
        <w:t xml:space="preserve">Security enforcement layers for a Synergy cluster DAG</w:t>
      </w:r>
    </w:p>
    <w:bookmarkStart w:id="64" w:name="threat-control-matrix"/>
    <w:p>
      <w:pPr>
        <w:pStyle w:val="Heading2"/>
      </w:pPr>
      <w:r>
        <w:t xml:space="preserve">Threat-control matrix</w:t>
      </w:r>
    </w:p>
    <w:p>
      <w:pPr>
        <w:pStyle w:val="Compact"/>
        <w:numPr>
          <w:ilvl w:val="0"/>
          <w:numId w:val="1031"/>
        </w:numPr>
      </w:pPr>
      <w:r>
        <w:rPr>
          <w:b/>
          <w:bCs/>
        </w:rPr>
        <w:t xml:space="preserve">Spam, replay, and stale vertices.</w:t>
      </w:r>
      <w:r>
        <w:t xml:space="preserve"> </w:t>
      </w:r>
      <w:r>
        <w:t xml:space="preserve">Current P2P code has no DAG-specific expiry or byte-budget discipline. Add strict expiry, per-peer budgets, and capability-gated DAG ingress.</w:t>
      </w:r>
    </w:p>
    <w:p>
      <w:pPr>
        <w:pStyle w:val="Compact"/>
        <w:numPr>
          <w:ilvl w:val="0"/>
          <w:numId w:val="1031"/>
        </w:numPr>
      </w:pPr>
      <w:r>
        <w:rPr>
          <w:b/>
          <w:bCs/>
        </w:rPr>
        <w:t xml:space="preserve">Data withholding and fake availability.</w:t>
      </w:r>
      <w:r>
        <w:t xml:space="preserve"> </w:t>
      </w:r>
      <w:r>
        <w:t xml:space="preserve">The source bundle has no receipt or blob-proof object yet. Require durable fetch before receipt and ban uncertified ordering.</w:t>
      </w:r>
    </w:p>
    <w:p>
      <w:pPr>
        <w:pStyle w:val="Compact"/>
        <w:numPr>
          <w:ilvl w:val="0"/>
          <w:numId w:val="1031"/>
        </w:numPr>
      </w:pPr>
      <w:r>
        <w:rPr>
          <w:b/>
          <w:bCs/>
        </w:rPr>
        <w:t xml:space="preserve">Same-author equivocation.</w:t>
      </w:r>
      <w:r>
        <w:t xml:space="preserve"> </w:t>
      </w:r>
      <w:r>
        <w:t xml:space="preserve">There is no DAG author-round rule today. Enforce one-author-one-vertex-per-round and export evidence immediately.</w:t>
      </w:r>
    </w:p>
    <w:p>
      <w:pPr>
        <w:pStyle w:val="Compact"/>
        <w:numPr>
          <w:ilvl w:val="0"/>
          <w:numId w:val="1031"/>
        </w:numPr>
      </w:pPr>
      <w:r>
        <w:rPr>
          <w:b/>
          <w:bCs/>
        </w:rPr>
        <w:t xml:space="preserve">Hidden sub-DAG or private conflicting frontier.</w:t>
      </w:r>
      <w:r>
        <w:t xml:space="preserve"> </w:t>
      </w:r>
      <w:r>
        <w:t xml:space="preserve">There is no DAG frontier monitor yet. Reject stale private branches, checkpoint visible progress, and slash provable conflicting proofs.</w:t>
      </w:r>
    </w:p>
    <w:p>
      <w:pPr>
        <w:pStyle w:val="Compact"/>
        <w:numPr>
          <w:ilvl w:val="0"/>
          <w:numId w:val="1031"/>
        </w:numPr>
      </w:pPr>
      <w:r>
        <w:rPr>
          <w:b/>
          <w:bCs/>
        </w:rPr>
        <w:t xml:space="preserve">Censorship and parent omission.</w:t>
      </w:r>
      <w:r>
        <w:t xml:space="preserve"> </w:t>
      </w:r>
      <w:r>
        <w:t xml:space="preserve">Current cartel logic is too thin for DAG evidence. Audit omission of eligible certified vertices and suspicious parent concentration.</w:t>
      </w:r>
    </w:p>
    <w:p>
      <w:pPr>
        <w:pStyle w:val="Compact"/>
        <w:numPr>
          <w:ilvl w:val="0"/>
          <w:numId w:val="1031"/>
        </w:numPr>
      </w:pPr>
      <w:r>
        <w:rPr>
          <w:b/>
          <w:bCs/>
        </w:rPr>
        <w:t xml:space="preserve">MEV leakage and premature disclosure.</w:t>
      </w:r>
      <w:r>
        <w:t xml:space="preserve"> </w:t>
      </w:r>
      <w:r>
        <w:t xml:space="preserve">The base transaction path is plaintext-oriented. Use encrypted batches and protocol-timed decryption.</w:t>
      </w:r>
    </w:p>
    <w:p>
      <w:pPr>
        <w:pStyle w:val="Compact"/>
        <w:numPr>
          <w:ilvl w:val="0"/>
          <w:numId w:val="1031"/>
        </w:numPr>
      </w:pPr>
      <w:r>
        <w:rPr>
          <w:b/>
          <w:bCs/>
        </w:rPr>
        <w:t xml:space="preserve">Cluster collusion and score gaming.</w:t>
      </w:r>
      <w:r>
        <w:t xml:space="preserve"> </w:t>
      </w:r>
      <w:r>
        <w:t xml:space="preserve">Current cartel thresholds exceed beta cluster size. Rework thresholds and use DAG-native evidence instead of generic correlation only.</w:t>
      </w:r>
    </w:p>
    <w:p>
      <w:pPr>
        <w:pStyle w:val="Compact"/>
        <w:numPr>
          <w:ilvl w:val="0"/>
          <w:numId w:val="1031"/>
        </w:numPr>
      </w:pPr>
      <w:r>
        <w:rPr>
          <w:b/>
          <w:bCs/>
        </w:rPr>
        <w:t xml:space="preserve">Partition, eclipse, and bridge loss.</w:t>
      </w:r>
      <w:r>
        <w:t xml:space="preserve"> </w:t>
      </w:r>
      <w:r>
        <w:t xml:space="preserve">P2P and SXCP already have trust boundaries, but no DAG-specific safety mode. Pause authoritative ordering if graph visibility is unsafe.</w:t>
      </w:r>
    </w:p>
    <w:p>
      <w:pPr>
        <w:pStyle w:val="Compact"/>
        <w:numPr>
          <w:ilvl w:val="0"/>
          <w:numId w:val="1031"/>
        </w:numPr>
      </w:pPr>
      <w:r>
        <w:rPr>
          <w:b/>
          <w:bCs/>
        </w:rPr>
        <w:t xml:space="preserve">Finality confusion in UX.</w:t>
      </w:r>
      <w:r>
        <w:t xml:space="preserve"> </w:t>
      </w:r>
      <w:r>
        <w:t xml:space="preserve">RPC and wallet semantics do not distinguish DAG progress from settlement. Expose DAG progress separately from QC finality.</w:t>
      </w:r>
    </w:p>
    <w:p>
      <w:pPr>
        <w:pStyle w:val="Compact"/>
        <w:numPr>
          <w:ilvl w:val="0"/>
          <w:numId w:val="1031"/>
        </w:numPr>
      </w:pPr>
      <w:r>
        <w:rPr>
          <w:b/>
          <w:bCs/>
        </w:rPr>
        <w:t xml:space="preserve">State and history blow-up.</w:t>
      </w:r>
      <w:r>
        <w:t xml:space="preserve"> </w:t>
      </w:r>
      <w:r>
        <w:t xml:space="preserve">Sync and retention are chain-shaped. Bound hot retention and keep full DAG history only on archive, audit, and DA roles.</w:t>
      </w:r>
    </w:p>
    <w:bookmarkEnd w:id="64"/>
    <w:bookmarkStart w:id="65" w:name="non-negotiable-controls"/>
    <w:p>
      <w:pPr>
        <w:pStyle w:val="Heading2"/>
      </w:pPr>
      <w:r>
        <w:t xml:space="preserve">Non-negotiable controls</w:t>
      </w:r>
    </w:p>
    <w:p>
      <w:pPr>
        <w:pStyle w:val="Compact"/>
        <w:numPr>
          <w:ilvl w:val="0"/>
          <w:numId w:val="1032"/>
        </w:numPr>
      </w:pPr>
      <w:r>
        <w:rPr>
          <w:b/>
          <w:bCs/>
        </w:rPr>
        <w:t xml:space="preserve">No uncertified ordering.</w:t>
      </w:r>
      <w:r>
        <w:t xml:space="preserve"> </w:t>
      </w:r>
      <w:r>
        <w:t xml:space="preserve">If a vertex lacks valid availability proof, it does not exist for ordering purposes.</w:t>
      </w:r>
    </w:p>
    <w:p>
      <w:pPr>
        <w:pStyle w:val="Compact"/>
        <w:numPr>
          <w:ilvl w:val="0"/>
          <w:numId w:val="1032"/>
        </w:numPr>
      </w:pPr>
      <w:r>
        <w:rPr>
          <w:b/>
          <w:bCs/>
        </w:rPr>
        <w:t xml:space="preserve">No skipped authentication for DAG control traffic.</w:t>
      </w:r>
      <w:r>
        <w:t xml:space="preserve"> </w:t>
      </w:r>
      <w:r>
        <w:t xml:space="preserve">Every vertex, receipt, certificate, checkpoint, and evidence bundle must be strictly signed and verified.</w:t>
      </w:r>
    </w:p>
    <w:p>
      <w:pPr>
        <w:pStyle w:val="Compact"/>
        <w:numPr>
          <w:ilvl w:val="0"/>
          <w:numId w:val="1032"/>
        </w:numPr>
      </w:pPr>
      <w:r>
        <w:rPr>
          <w:b/>
          <w:bCs/>
        </w:rPr>
        <w:t xml:space="preserve">No new public ports by default.</w:t>
      </w:r>
      <w:r>
        <w:t xml:space="preserve"> </w:t>
      </w:r>
      <w:r>
        <w:t xml:space="preserve">Reuse existing trust surfaces and keep public exposure narrow.</w:t>
      </w:r>
    </w:p>
    <w:p>
      <w:pPr>
        <w:pStyle w:val="Compact"/>
        <w:numPr>
          <w:ilvl w:val="0"/>
          <w:numId w:val="1032"/>
        </w:numPr>
      </w:pPr>
      <w:r>
        <w:rPr>
          <w:b/>
          <w:bCs/>
        </w:rPr>
        <w:t xml:space="preserve">No weakening of QC verification.</w:t>
      </w:r>
      <w:r>
        <w:t xml:space="preserve"> </w:t>
      </w:r>
      <w:r>
        <w:t xml:space="preserve">DAG optimization must never undercut the finality path.</w:t>
      </w:r>
    </w:p>
    <w:p>
      <w:pPr>
        <w:pStyle w:val="Compact"/>
        <w:numPr>
          <w:ilvl w:val="0"/>
          <w:numId w:val="1032"/>
        </w:numPr>
      </w:pPr>
      <w:r>
        <w:rPr>
          <w:b/>
          <w:bCs/>
        </w:rPr>
        <w:t xml:space="preserve">No optimistic continuation after graph-integrity failure.</w:t>
      </w:r>
      <w:r>
        <w:t xml:space="preserve"> </w:t>
      </w:r>
      <w:r>
        <w:t xml:space="preserve">Quarantine or degrade rather than guessing.</w:t>
      </w:r>
    </w:p>
    <w:p>
      <w:pPr>
        <w:pStyle w:val="Compact"/>
        <w:numPr>
          <w:ilvl w:val="0"/>
          <w:numId w:val="1032"/>
        </w:numPr>
      </w:pPr>
      <w:r>
        <w:rPr>
          <w:b/>
          <w:bCs/>
        </w:rPr>
        <w:t xml:space="preserve">No operator ambiguity about settlement.</w:t>
      </w:r>
      <w:r>
        <w:t xml:space="preserve"> </w:t>
      </w:r>
      <w:r>
        <w:t xml:space="preserve">“</w:t>
      </w:r>
      <w:r>
        <w:t xml:space="preserve">QC-finalized</w:t>
      </w:r>
      <w:r>
        <w:t xml:space="preserve">”</w:t>
      </w:r>
      <w:r>
        <w:t xml:space="preserve"> </w:t>
      </w:r>
      <w:r>
        <w:t xml:space="preserve">must remain the only settled state.</w:t>
      </w:r>
    </w:p>
    <w:bookmarkEnd w:id="65"/>
    <w:bookmarkStart w:id="66" w:name="Xe5957ef8d7a6513c3d835e205a891786171bee7"/>
    <w:p>
      <w:pPr>
        <w:pStyle w:val="Heading2"/>
      </w:pPr>
      <w:r>
        <w:t xml:space="preserve">Assurance work that should accompany rollout</w:t>
      </w:r>
    </w:p>
    <w:p>
      <w:pPr>
        <w:pStyle w:val="Compact"/>
        <w:numPr>
          <w:ilvl w:val="0"/>
          <w:numId w:val="1033"/>
        </w:numPr>
      </w:pPr>
      <w:r>
        <w:t xml:space="preserve">property tests for DAG invariants, deterministic ordering, expiry, and proof validation;</w:t>
      </w:r>
    </w:p>
    <w:p>
      <w:pPr>
        <w:pStyle w:val="Compact"/>
        <w:numPr>
          <w:ilvl w:val="0"/>
          <w:numId w:val="1033"/>
        </w:numPr>
      </w:pPr>
      <w:r>
        <w:t xml:space="preserve">adversarial simulation for replay, withholding, equivocation, censorship, and partitions;</w:t>
      </w:r>
    </w:p>
    <w:p>
      <w:pPr>
        <w:pStyle w:val="Compact"/>
        <w:numPr>
          <w:ilvl w:val="0"/>
          <w:numId w:val="1033"/>
        </w:numPr>
      </w:pPr>
      <w:r>
        <w:t xml:space="preserve">archive/audit replay that reconstructs cuts from stored artifacts;</w:t>
      </w:r>
    </w:p>
    <w:p>
      <w:pPr>
        <w:pStyle w:val="Compact"/>
        <w:numPr>
          <w:ilvl w:val="0"/>
          <w:numId w:val="1033"/>
        </w:numPr>
      </w:pPr>
      <w:r>
        <w:t xml:space="preserve">model checking or formal reasoning around</w:t>
      </w:r>
      <w:r>
        <w:t xml:space="preserve"> </w:t>
      </w:r>
      <w:r>
        <w:t xml:space="preserve">“</w:t>
      </w:r>
      <w:r>
        <w:t xml:space="preserve">no uncertified input reaches finality</w:t>
      </w:r>
      <w:r>
        <w:t xml:space="preserve">”</w:t>
      </w:r>
      <w:r>
        <w:t xml:space="preserve">;</w:t>
      </w:r>
    </w:p>
    <w:p>
      <w:pPr>
        <w:pStyle w:val="Compact"/>
        <w:numPr>
          <w:ilvl w:val="0"/>
          <w:numId w:val="1033"/>
        </w:numPr>
      </w:pPr>
      <w:r>
        <w:t xml:space="preserve">external review that covers the DAG availability layer, not just legacy PoSy components.</w:t>
      </w:r>
    </w:p>
    <w:p>
      <w:pPr>
        <w:pStyle w:val="FirstParagraph"/>
      </w:pPr>
      <w:r>
        <w:rPr>
          <w:b/>
          <w:bCs/>
        </w:rPr>
        <w:t xml:space="preserve">Source anchors:</w:t>
      </w:r>
      <w:r>
        <w:t xml:space="preserve"> </w:t>
      </w:r>
      <w:r>
        <w:rPr>
          <w:rStyle w:val="VerbatimChar"/>
        </w:rPr>
        <w:t xml:space="preserve">Synergy_Network_Security_Implementation_Specification.docx</w:t>
      </w:r>
      <w:r>
        <w:t xml:space="preserve">,</w:t>
      </w:r>
      <w:r>
        <w:t xml:space="preserve"> </w:t>
      </w:r>
      <w:r>
        <w:rPr>
          <w:rStyle w:val="VerbatimChar"/>
        </w:rPr>
        <w:t xml:space="preserve">09-threat-model-security-patent-relevant-effects.docx</w:t>
      </w:r>
      <w:r>
        <w:t xml:space="preserve">,</w:t>
      </w:r>
      <w:r>
        <w:t xml:space="preserve"> </w:t>
      </w:r>
      <w:r>
        <w:rPr>
          <w:rStyle w:val="VerbatimChar"/>
        </w:rPr>
        <w:t xml:space="preserve">src/p2p/networking.rs</w:t>
      </w:r>
      <w:r>
        <w:t xml:space="preserve">,</w:t>
      </w:r>
      <w:r>
        <w:t xml:space="preserve"> </w:t>
      </w:r>
      <w:r>
        <w:rPr>
          <w:rStyle w:val="VerbatimChar"/>
        </w:rPr>
        <w:t xml:space="preserve">src/rpc/rpc_server.rs</w:t>
      </w:r>
      <w:r>
        <w:t xml:space="preserve">,</w:t>
      </w:r>
      <w:r>
        <w:t xml:space="preserve"> </w:t>
      </w:r>
      <w:r>
        <w:rPr>
          <w:rStyle w:val="VerbatimChar"/>
        </w:rPr>
        <w:t xml:space="preserve">src/consensus/cartel_detection.rs</w:t>
      </w:r>
      <w:r>
        <w:t xml:space="preserve">,</w:t>
      </w:r>
      <w:r>
        <w:t xml:space="preserve"> </w:t>
      </w:r>
      <w:r>
        <w:rPr>
          <w:rStyle w:val="VerbatimChar"/>
        </w:rPr>
        <w:t xml:space="preserve">src/sxcp/mod.rs</w:t>
      </w:r>
      <w:r>
        <w:t xml:space="preserve">.</w:t>
      </w:r>
    </w:p>
    <w:bookmarkEnd w:id="66"/>
    <w:bookmarkEnd w:id="67"/>
    <w:bookmarkStart w:id="71" w:name="concrete-file-touchpoint-plan"/>
    <w:p>
      <w:pPr>
        <w:pStyle w:val="Heading1"/>
      </w:pPr>
      <w:r>
        <w:t xml:space="preserve">Concrete file touchpoint plan</w:t>
      </w:r>
    </w:p>
    <w:p>
      <w:pPr>
        <w:pStyle w:val="FirstParagraph"/>
      </w:pPr>
      <w:r>
        <w:t xml:space="preserve">This is the practical coding map for the engineering team.</w:t>
      </w:r>
    </w:p>
    <w:bookmarkStart w:id="68" w:name="Xc2bda184c3bf7accd1152e6c26bdebb779e9e3b"/>
    <w:p>
      <w:pPr>
        <w:pStyle w:val="Heading2"/>
      </w:pPr>
      <w:r>
        <w:t xml:space="preserve">Priority 1: files that gate the first usable DAG release</w:t>
      </w:r>
    </w:p>
    <w:p>
      <w:pPr>
        <w:pStyle w:val="Compact"/>
        <w:numPr>
          <w:ilvl w:val="0"/>
          <w:numId w:val="1034"/>
        </w:numPr>
      </w:pPr>
      <w:r>
        <w:rPr>
          <w:rStyle w:val="VerbatimChar"/>
        </w:rPr>
        <w:t xml:space="preserve">src/consensus/consensus_algorithm.rs</w:t>
      </w:r>
      <w:r>
        <w:t xml:space="preserve"> </w:t>
      </w:r>
      <w:r>
        <w:t xml:space="preserve">— insert the DAG manager, certified-frontier selection, and batch-retirement logic.</w:t>
      </w:r>
    </w:p>
    <w:p>
      <w:pPr>
        <w:pStyle w:val="Compact"/>
        <w:numPr>
          <w:ilvl w:val="0"/>
          <w:numId w:val="1034"/>
        </w:numPr>
      </w:pPr>
      <w:r>
        <w:rPr>
          <w:rStyle w:val="VerbatimChar"/>
        </w:rPr>
        <w:t xml:space="preserve">src/consensus/dual_quorum.rs</w:t>
      </w:r>
      <w:r>
        <w:t xml:space="preserve"> </w:t>
      </w:r>
      <w:r>
        <w:t xml:space="preserve">— keep QC finality intact, remove local-randomness ambiguity, and prepare for cleaner vote transport later.</w:t>
      </w:r>
    </w:p>
    <w:p>
      <w:pPr>
        <w:pStyle w:val="Compact"/>
        <w:numPr>
          <w:ilvl w:val="0"/>
          <w:numId w:val="1034"/>
        </w:numPr>
      </w:pPr>
      <w:r>
        <w:rPr>
          <w:rStyle w:val="VerbatimChar"/>
        </w:rPr>
        <w:t xml:space="preserve">src/block.rs</w:t>
      </w:r>
      <w:r>
        <w:t xml:space="preserve"> </w:t>
      </w:r>
      <w:r>
        <w:t xml:space="preserve">— add ordering-cut and availability commitments plus validation.</w:t>
      </w:r>
    </w:p>
    <w:p>
      <w:pPr>
        <w:pStyle w:val="Compact"/>
        <w:numPr>
          <w:ilvl w:val="0"/>
          <w:numId w:val="1034"/>
        </w:numPr>
      </w:pPr>
      <w:r>
        <w:rPr>
          <w:rStyle w:val="VerbatimChar"/>
        </w:rPr>
        <w:t xml:space="preserve">src/p2p/messages.rs</w:t>
      </w:r>
      <w:r>
        <w:t xml:space="preserve"> </w:t>
      </w:r>
      <w:r>
        <w:t xml:space="preserve">— add DAG wire types.</w:t>
      </w:r>
    </w:p>
    <w:p>
      <w:pPr>
        <w:pStyle w:val="Compact"/>
        <w:numPr>
          <w:ilvl w:val="0"/>
          <w:numId w:val="1034"/>
        </w:numPr>
      </w:pPr>
      <w:r>
        <w:rPr>
          <w:rStyle w:val="VerbatimChar"/>
        </w:rPr>
        <w:t xml:space="preserve">src/p2p/networking.rs</w:t>
      </w:r>
      <w:r>
        <w:t xml:space="preserve"> </w:t>
      </w:r>
      <w:r>
        <w:t xml:space="preserve">— add cluster gossip, fetch, repair, budgets, and capability flags.</w:t>
      </w:r>
    </w:p>
    <w:p>
      <w:pPr>
        <w:pStyle w:val="Compact"/>
        <w:numPr>
          <w:ilvl w:val="0"/>
          <w:numId w:val="1034"/>
        </w:numPr>
      </w:pPr>
      <w:r>
        <w:rPr>
          <w:rStyle w:val="VerbatimChar"/>
        </w:rPr>
        <w:t xml:space="preserve">src/sync/*.rs</w:t>
      </w:r>
      <w:r>
        <w:t xml:space="preserve"> </w:t>
      </w:r>
      <w:r>
        <w:t xml:space="preserve">— add DAG artifact sync for archive, audit, and DA roles.</w:t>
      </w:r>
    </w:p>
    <w:p>
      <w:pPr>
        <w:pStyle w:val="Compact"/>
        <w:numPr>
          <w:ilvl w:val="0"/>
          <w:numId w:val="1034"/>
        </w:numPr>
      </w:pPr>
      <w:r>
        <w:rPr>
          <w:rStyle w:val="VerbatimChar"/>
        </w:rPr>
        <w:t xml:space="preserve">src/validator.rs</w:t>
      </w:r>
      <w:r>
        <w:t xml:space="preserve"> </w:t>
      </w:r>
      <w:r>
        <w:t xml:space="preserve">— canonicalize cluster size, cluster assignment, and slashing hooks.</w:t>
      </w:r>
    </w:p>
    <w:p>
      <w:pPr>
        <w:pStyle w:val="Compact"/>
        <w:numPr>
          <w:ilvl w:val="0"/>
          <w:numId w:val="1034"/>
        </w:numPr>
      </w:pPr>
      <w:r>
        <w:rPr>
          <w:rStyle w:val="VerbatimChar"/>
        </w:rPr>
        <w:t xml:space="preserve">src/config/mod.rs</w:t>
      </w:r>
      <w:r>
        <w:t xml:space="preserve"> </w:t>
      </w:r>
      <w:r>
        <w:t xml:space="preserve">— add the</w:t>
      </w:r>
      <w:r>
        <w:t xml:space="preserve"> </w:t>
      </w:r>
      <w:r>
        <w:rPr>
          <w:rStyle w:val="VerbatimChar"/>
        </w:rPr>
        <w:t xml:space="preserve">[dag]</w:t>
      </w:r>
      <w:r>
        <w:t xml:space="preserve"> </w:t>
      </w:r>
      <w:r>
        <w:t xml:space="preserve">namespace and matching environment overrides.</w:t>
      </w:r>
    </w:p>
    <w:bookmarkEnd w:id="68"/>
    <w:bookmarkStart w:id="69" w:name="X997807dfcabbb00c1b72a1589e50ab4fc3b68cb"/>
    <w:p>
      <w:pPr>
        <w:pStyle w:val="Heading2"/>
      </w:pPr>
      <w:r>
        <w:t xml:space="preserve">Priority 2: files that make the rollout operable and enforceable</w:t>
      </w:r>
    </w:p>
    <w:p>
      <w:pPr>
        <w:pStyle w:val="Compact"/>
        <w:numPr>
          <w:ilvl w:val="0"/>
          <w:numId w:val="1035"/>
        </w:numPr>
      </w:pPr>
      <w:r>
        <w:rPr>
          <w:rStyle w:val="VerbatimChar"/>
        </w:rPr>
        <w:t xml:space="preserve">src/rpc/rpc_server.rs</w:t>
      </w:r>
      <w:r>
        <w:t xml:space="preserve"> </w:t>
      </w:r>
      <w:r>
        <w:t xml:space="preserve">— add DAG diagnostics, evidence export, and honest lifecycle APIs.</w:t>
      </w:r>
    </w:p>
    <w:p>
      <w:pPr>
        <w:pStyle w:val="Compact"/>
        <w:numPr>
          <w:ilvl w:val="0"/>
          <w:numId w:val="1035"/>
        </w:numPr>
      </w:pPr>
      <w:r>
        <w:rPr>
          <w:rStyle w:val="VerbatimChar"/>
        </w:rPr>
        <w:t xml:space="preserve">src/consensus/cartel_detection.rs</w:t>
      </w:r>
      <w:r>
        <w:t xml:space="preserve"> </w:t>
      </w:r>
      <w:r>
        <w:t xml:space="preserve">— add DAG-native evidence and workable beta thresholds.</w:t>
      </w:r>
    </w:p>
    <w:p>
      <w:pPr>
        <w:pStyle w:val="Compact"/>
        <w:numPr>
          <w:ilvl w:val="0"/>
          <w:numId w:val="1035"/>
        </w:numPr>
      </w:pPr>
      <w:r>
        <w:rPr>
          <w:rStyle w:val="VerbatimChar"/>
        </w:rPr>
        <w:t xml:space="preserve">src/consensus/synergy_score.rs</w:t>
      </w:r>
      <w:r>
        <w:t xml:space="preserve"> </w:t>
      </w:r>
      <w:r>
        <w:t xml:space="preserve">— preserve weighting in finality and rewards, not basic availability.</w:t>
      </w:r>
    </w:p>
    <w:p>
      <w:pPr>
        <w:pStyle w:val="Compact"/>
        <w:numPr>
          <w:ilvl w:val="0"/>
          <w:numId w:val="1035"/>
        </w:numPr>
      </w:pPr>
      <w:r>
        <w:rPr>
          <w:rStyle w:val="VerbatimChar"/>
        </w:rPr>
        <w:t xml:space="preserve">src/role_profiles.rs</w:t>
      </w:r>
      <w:r>
        <w:t xml:space="preserve"> </w:t>
      </w:r>
      <w:r>
        <w:t xml:space="preserve">and</w:t>
      </w:r>
      <w:r>
        <w:t xml:space="preserve"> </w:t>
      </w:r>
      <w:r>
        <w:rPr>
          <w:rStyle w:val="VerbatimChar"/>
        </w:rPr>
        <w:t xml:space="preserve">src/role_runtime.rs</w:t>
      </w:r>
      <w:r>
        <w:t xml:space="preserve"> </w:t>
      </w:r>
      <w:r>
        <w:t xml:space="preserve">— turn DA, archive, and audit profiles into real rollout paths.</w:t>
      </w:r>
    </w:p>
    <w:p>
      <w:pPr>
        <w:pStyle w:val="Compact"/>
        <w:numPr>
          <w:ilvl w:val="0"/>
          <w:numId w:val="1035"/>
        </w:numPr>
      </w:pPr>
      <w:r>
        <w:rPr>
          <w:rStyle w:val="VerbatimChar"/>
        </w:rPr>
        <w:t xml:space="preserve">src/token.rs</w:t>
      </w:r>
      <w:r>
        <w:t xml:space="preserve"> </w:t>
      </w:r>
      <w:r>
        <w:t xml:space="preserve">— preserve cluster reward continuity and add DAG slashing categories.</w:t>
      </w:r>
    </w:p>
    <w:bookmarkEnd w:id="69"/>
    <w:bookmarkStart w:id="70" w:name="X0c84a332d92a315b4dccd03e6ddcd975acb36d1"/>
    <w:p>
      <w:pPr>
        <w:pStyle w:val="Heading2"/>
      </w:pPr>
      <w:r>
        <w:t xml:space="preserve">Priority 3: files that round out ergonomics and deployment</w:t>
      </w:r>
    </w:p>
    <w:p>
      <w:pPr>
        <w:pStyle w:val="Compact"/>
        <w:numPr>
          <w:ilvl w:val="0"/>
          <w:numId w:val="1036"/>
        </w:numPr>
      </w:pPr>
      <w:r>
        <w:rPr>
          <w:rStyle w:val="VerbatimChar"/>
        </w:rPr>
        <w:t xml:space="preserve">src/bin/*</w:t>
      </w:r>
      <w:r>
        <w:t xml:space="preserve"> </w:t>
      </w:r>
      <w:r>
        <w:t xml:space="preserve">— add DAG-aware startup modes and health expectations for the role-specific binaries.</w:t>
      </w:r>
    </w:p>
    <w:bookmarkEnd w:id="70"/>
    <w:bookmarkEnd w:id="71"/>
    <w:bookmarkStart w:id="72" w:name="X7101c6a849348e78ad937022747bbbf34c100e3"/>
    <w:p>
      <w:pPr>
        <w:pStyle w:val="Heading1"/>
      </w:pPr>
      <w:r>
        <w:t xml:space="preserve">Remaining blind spots and the most useful next inputs</w:t>
      </w:r>
    </w:p>
    <w:p>
      <w:pPr>
        <w:pStyle w:val="FirstParagraph"/>
      </w:pPr>
      <w:r>
        <w:t xml:space="preserve">This merged report is materially better than the earlier one because it now includes direct runtime-source review. It is still not literally omniscient.</w:t>
      </w:r>
    </w:p>
    <w:p>
      <w:pPr>
        <w:pStyle w:val="BodyText"/>
      </w:pPr>
      <w:r>
        <w:t xml:space="preserve">The most useful additional inputs would be:</w:t>
      </w:r>
    </w:p>
    <w:p>
      <w:pPr>
        <w:pStyle w:val="Compact"/>
        <w:numPr>
          <w:ilvl w:val="0"/>
          <w:numId w:val="1037"/>
        </w:numPr>
      </w:pPr>
      <w:r>
        <w:t xml:space="preserve">the full</w:t>
      </w:r>
      <w:r>
        <w:t xml:space="preserve"> </w:t>
      </w:r>
      <w:r>
        <w:rPr>
          <w:rStyle w:val="VerbatimChar"/>
        </w:rPr>
        <w:t xml:space="preserve">synergy-node-control-panel</w:t>
      </w:r>
      <w:r>
        <w:t xml:space="preserve"> </w:t>
      </w:r>
      <w:r>
        <w:t xml:space="preserve">repository;</w:t>
      </w:r>
    </w:p>
    <w:p>
      <w:pPr>
        <w:pStyle w:val="Compact"/>
        <w:numPr>
          <w:ilvl w:val="0"/>
          <w:numId w:val="1037"/>
        </w:numPr>
      </w:pPr>
      <w:r>
        <w:t xml:space="preserve">real</w:t>
      </w:r>
      <w:r>
        <w:t xml:space="preserve"> </w:t>
      </w:r>
      <w:r>
        <w:rPr>
          <w:rStyle w:val="VerbatimChar"/>
        </w:rPr>
        <w:t xml:space="preserve">genesis.json</w:t>
      </w:r>
      <w:r>
        <w:t xml:space="preserve">,</w:t>
      </w:r>
      <w:r>
        <w:t xml:space="preserve"> </w:t>
      </w:r>
      <w:r>
        <w:rPr>
          <w:rStyle w:val="VerbatimChar"/>
        </w:rPr>
        <w:t xml:space="preserve">node.toml</w:t>
      </w:r>
      <w:r>
        <w:t xml:space="preserve">,</w:t>
      </w:r>
      <w:r>
        <w:t xml:space="preserve"> </w:t>
      </w:r>
      <w:r>
        <w:rPr>
          <w:rStyle w:val="VerbatimChar"/>
        </w:rPr>
        <w:t xml:space="preserve">peers.toml</w:t>
      </w:r>
      <w:r>
        <w:t xml:space="preserve">, and</w:t>
      </w:r>
      <w:r>
        <w:t xml:space="preserve"> </w:t>
      </w:r>
      <w:r>
        <w:rPr>
          <w:rStyle w:val="VerbatimChar"/>
        </w:rPr>
        <w:t xml:space="preserve">aegis.toml</w:t>
      </w:r>
      <w:r>
        <w:t xml:space="preserve"> </w:t>
      </w:r>
      <w:r>
        <w:t xml:space="preserve">examples;</w:t>
      </w:r>
    </w:p>
    <w:p>
      <w:pPr>
        <w:pStyle w:val="Compact"/>
        <w:numPr>
          <w:ilvl w:val="0"/>
          <w:numId w:val="1037"/>
        </w:numPr>
      </w:pPr>
      <w:r>
        <w:t xml:space="preserve">deployment artifacts such as systemd units, Dockerfiles, Nginx templates, and rollout scripts;</w:t>
      </w:r>
    </w:p>
    <w:p>
      <w:pPr>
        <w:pStyle w:val="Compact"/>
        <w:numPr>
          <w:ilvl w:val="0"/>
          <w:numId w:val="1037"/>
        </w:numPr>
      </w:pPr>
      <w:r>
        <w:t xml:space="preserve">a sample generated operator bundle from the control panel;</w:t>
      </w:r>
    </w:p>
    <w:p>
      <w:pPr>
        <w:pStyle w:val="Compact"/>
        <w:numPr>
          <w:ilvl w:val="0"/>
          <w:numId w:val="1037"/>
        </w:numPr>
      </w:pPr>
      <w:r>
        <w:t xml:space="preserve">any prior audit, threat-model, incident, or load-test material.</w:t>
      </w:r>
    </w:p>
    <w:p>
      <w:pPr>
        <w:pStyle w:val="FirstParagraph"/>
      </w:pPr>
      <w:r>
        <w:t xml:space="preserve">Those items would allow a true</w:t>
      </w:r>
      <w:r>
        <w:t xml:space="preserve"> </w:t>
      </w:r>
      <w:r>
        <w:rPr>
          <w:b/>
          <w:bCs/>
        </w:rPr>
        <w:t xml:space="preserve">end-to-end</w:t>
      </w:r>
      <w:r>
        <w:t xml:space="preserve"> </w:t>
      </w:r>
      <w:r>
        <w:t xml:space="preserve">DAG rollout plan covering runtime, provisioning, UI, deployment, and operations without inference gaps.</w:t>
      </w:r>
    </w:p>
    <w:bookmarkEnd w:id="72"/>
    <w:bookmarkStart w:id="87" w:name="Xdc3340f0dbad57e7f7fa0b337e9f56ab90c2f4d"/>
    <w:p>
      <w:pPr>
        <w:pStyle w:val="Heading1"/>
      </w:pPr>
      <w:r>
        <w:t xml:space="preserve">Appendix A. Complete</w:t>
      </w:r>
      <w:r>
        <w:t xml:space="preserve"> </w:t>
      </w:r>
      <w:r>
        <w:rPr>
          <w:rStyle w:val="VerbatimChar"/>
        </w:rPr>
        <w:t xml:space="preserve">src.zip</w:t>
      </w:r>
      <w:r>
        <w:t xml:space="preserve"> </w:t>
      </w:r>
      <w:r>
        <w:t xml:space="preserve">inventory reviewed</w:t>
      </w:r>
    </w:p>
    <w:bookmarkStart w:id="73" w:name="root-files"/>
    <w:p>
      <w:pPr>
        <w:pStyle w:val="Heading2"/>
      </w:pPr>
      <w:r>
        <w:t xml:space="preserve">Root files</w:t>
      </w:r>
    </w:p>
    <w:p>
      <w:pPr>
        <w:pStyle w:val="Compact"/>
        <w:numPr>
          <w:ilvl w:val="0"/>
          <w:numId w:val="1038"/>
        </w:numPr>
      </w:pPr>
      <w:r>
        <w:rPr>
          <w:rStyle w:val="VerbatimChar"/>
        </w:rPr>
        <w:t xml:space="preserve">address.rs</w:t>
      </w:r>
    </w:p>
    <w:p>
      <w:pPr>
        <w:pStyle w:val="Compact"/>
        <w:numPr>
          <w:ilvl w:val="0"/>
          <w:numId w:val="1038"/>
        </w:numPr>
      </w:pPr>
      <w:r>
        <w:rPr>
          <w:rStyle w:val="VerbatimChar"/>
        </w:rPr>
        <w:t xml:space="preserve">block.rs</w:t>
      </w:r>
    </w:p>
    <w:p>
      <w:pPr>
        <w:pStyle w:val="Compact"/>
        <w:numPr>
          <w:ilvl w:val="0"/>
          <w:numId w:val="1038"/>
        </w:numPr>
      </w:pPr>
      <w:r>
        <w:rPr>
          <w:rStyle w:val="VerbatimChar"/>
        </w:rPr>
        <w:t xml:space="preserve">broadcast.rs</w:t>
      </w:r>
    </w:p>
    <w:p>
      <w:pPr>
        <w:pStyle w:val="Compact"/>
        <w:numPr>
          <w:ilvl w:val="0"/>
          <w:numId w:val="1038"/>
        </w:numPr>
      </w:pPr>
      <w:r>
        <w:rPr>
          <w:rStyle w:val="VerbatimChar"/>
        </w:rPr>
        <w:t xml:space="preserve">Cargo.toml</w:t>
      </w:r>
    </w:p>
    <w:p>
      <w:pPr>
        <w:pStyle w:val="Compact"/>
        <w:numPr>
          <w:ilvl w:val="0"/>
          <w:numId w:val="1038"/>
        </w:numPr>
      </w:pPr>
      <w:r>
        <w:rPr>
          <w:rStyle w:val="VerbatimChar"/>
        </w:rPr>
        <w:t xml:space="preserve">contracts.rs</w:t>
      </w:r>
    </w:p>
    <w:p>
      <w:pPr>
        <w:pStyle w:val="Compact"/>
        <w:numPr>
          <w:ilvl w:val="0"/>
          <w:numId w:val="1038"/>
        </w:numPr>
      </w:pPr>
      <w:r>
        <w:rPr>
          <w:rStyle w:val="VerbatimChar"/>
        </w:rPr>
        <w:t xml:space="preserve">lib.rs</w:t>
      </w:r>
    </w:p>
    <w:p>
      <w:pPr>
        <w:pStyle w:val="Compact"/>
        <w:numPr>
          <w:ilvl w:val="0"/>
          <w:numId w:val="1038"/>
        </w:numPr>
      </w:pPr>
      <w:r>
        <w:rPr>
          <w:rStyle w:val="VerbatimChar"/>
        </w:rPr>
        <w:t xml:space="preserve">logging.rs</w:t>
      </w:r>
    </w:p>
    <w:p>
      <w:pPr>
        <w:pStyle w:val="Compact"/>
        <w:numPr>
          <w:ilvl w:val="0"/>
          <w:numId w:val="1038"/>
        </w:numPr>
      </w:pPr>
      <w:r>
        <w:rPr>
          <w:rStyle w:val="VerbatimChar"/>
        </w:rPr>
        <w:t xml:space="preserve">main.rs</w:t>
      </w:r>
    </w:p>
    <w:p>
      <w:pPr>
        <w:pStyle w:val="Compact"/>
        <w:numPr>
          <w:ilvl w:val="0"/>
          <w:numId w:val="1038"/>
        </w:numPr>
      </w:pPr>
      <w:r>
        <w:rPr>
          <w:rStyle w:val="VerbatimChar"/>
        </w:rPr>
        <w:t xml:space="preserve">role_profiles.rs</w:t>
      </w:r>
    </w:p>
    <w:p>
      <w:pPr>
        <w:pStyle w:val="Compact"/>
        <w:numPr>
          <w:ilvl w:val="0"/>
          <w:numId w:val="1038"/>
        </w:numPr>
      </w:pPr>
      <w:r>
        <w:rPr>
          <w:rStyle w:val="VerbatimChar"/>
        </w:rPr>
        <w:t xml:space="preserve">role_runtime.rs</w:t>
      </w:r>
    </w:p>
    <w:p>
      <w:pPr>
        <w:pStyle w:val="Compact"/>
        <w:numPr>
          <w:ilvl w:val="0"/>
          <w:numId w:val="1038"/>
        </w:numPr>
      </w:pPr>
      <w:r>
        <w:rPr>
          <w:rStyle w:val="VerbatimChar"/>
        </w:rPr>
        <w:t xml:space="preserve">token.rs</w:t>
      </w:r>
    </w:p>
    <w:p>
      <w:pPr>
        <w:pStyle w:val="Compact"/>
        <w:numPr>
          <w:ilvl w:val="0"/>
          <w:numId w:val="1038"/>
        </w:numPr>
      </w:pPr>
      <w:r>
        <w:rPr>
          <w:rStyle w:val="VerbatimChar"/>
        </w:rPr>
        <w:t xml:space="preserve">token_new.rs</w:t>
      </w:r>
    </w:p>
    <w:p>
      <w:pPr>
        <w:pStyle w:val="Compact"/>
        <w:numPr>
          <w:ilvl w:val="0"/>
          <w:numId w:val="1038"/>
        </w:numPr>
      </w:pPr>
      <w:r>
        <w:rPr>
          <w:rStyle w:val="VerbatimChar"/>
        </w:rPr>
        <w:t xml:space="preserve">token_old.rs</w:t>
      </w:r>
    </w:p>
    <w:p>
      <w:pPr>
        <w:pStyle w:val="Compact"/>
        <w:numPr>
          <w:ilvl w:val="0"/>
          <w:numId w:val="1038"/>
        </w:numPr>
      </w:pPr>
      <w:r>
        <w:rPr>
          <w:rStyle w:val="VerbatimChar"/>
        </w:rPr>
        <w:t xml:space="preserve">transaction.rs</w:t>
      </w:r>
    </w:p>
    <w:p>
      <w:pPr>
        <w:pStyle w:val="Compact"/>
        <w:numPr>
          <w:ilvl w:val="0"/>
          <w:numId w:val="1038"/>
        </w:numPr>
      </w:pPr>
      <w:r>
        <w:rPr>
          <w:rStyle w:val="VerbatimChar"/>
        </w:rPr>
        <w:t xml:space="preserve">utils.rs</w:t>
      </w:r>
    </w:p>
    <w:p>
      <w:pPr>
        <w:pStyle w:val="Compact"/>
        <w:numPr>
          <w:ilvl w:val="0"/>
          <w:numId w:val="1038"/>
        </w:numPr>
      </w:pPr>
      <w:r>
        <w:rPr>
          <w:rStyle w:val="VerbatimChar"/>
        </w:rPr>
        <w:t xml:space="preserve">validator.rs</w:t>
      </w:r>
    </w:p>
    <w:p>
      <w:pPr>
        <w:pStyle w:val="Compact"/>
        <w:numPr>
          <w:ilvl w:val="0"/>
          <w:numId w:val="1038"/>
        </w:numPr>
      </w:pPr>
      <w:r>
        <w:rPr>
          <w:rStyle w:val="VerbatimChar"/>
        </w:rPr>
        <w:t xml:space="preserve">wallet.rs</w:t>
      </w:r>
    </w:p>
    <w:bookmarkEnd w:id="73"/>
    <w:bookmarkStart w:id="74" w:name="aivm"/>
    <w:p>
      <w:pPr>
        <w:pStyle w:val="Heading2"/>
      </w:pPr>
      <w:r>
        <w:rPr>
          <w:rStyle w:val="VerbatimChar"/>
        </w:rPr>
        <w:t xml:space="preserve">aivm/</w:t>
      </w:r>
    </w:p>
    <w:p>
      <w:pPr>
        <w:pStyle w:val="Compact"/>
        <w:numPr>
          <w:ilvl w:val="0"/>
          <w:numId w:val="1039"/>
        </w:numPr>
      </w:pPr>
      <w:r>
        <w:rPr>
          <w:rStyle w:val="VerbatimChar"/>
        </w:rPr>
        <w:t xml:space="preserve">aivm/chat_interface.rs</w:t>
      </w:r>
    </w:p>
    <w:p>
      <w:pPr>
        <w:pStyle w:val="Compact"/>
        <w:numPr>
          <w:ilvl w:val="0"/>
          <w:numId w:val="1039"/>
        </w:numPr>
      </w:pPr>
      <w:r>
        <w:rPr>
          <w:rStyle w:val="VerbatimChar"/>
        </w:rPr>
        <w:t xml:space="preserve">aivm/distributed_ai.rs</w:t>
      </w:r>
    </w:p>
    <w:p>
      <w:pPr>
        <w:pStyle w:val="Compact"/>
        <w:numPr>
          <w:ilvl w:val="0"/>
          <w:numId w:val="1039"/>
        </w:numPr>
      </w:pPr>
      <w:r>
        <w:rPr>
          <w:rStyle w:val="VerbatimChar"/>
        </w:rPr>
        <w:t xml:space="preserve">aivm/interoperability.rs</w:t>
      </w:r>
    </w:p>
    <w:p>
      <w:pPr>
        <w:pStyle w:val="Compact"/>
        <w:numPr>
          <w:ilvl w:val="0"/>
          <w:numId w:val="1039"/>
        </w:numPr>
      </w:pPr>
      <w:r>
        <w:rPr>
          <w:rStyle w:val="VerbatimChar"/>
        </w:rPr>
        <w:t xml:space="preserve">aivm/mod.rs</w:t>
      </w:r>
    </w:p>
    <w:p>
      <w:pPr>
        <w:pStyle w:val="Compact"/>
        <w:numPr>
          <w:ilvl w:val="0"/>
          <w:numId w:val="1039"/>
        </w:numPr>
      </w:pPr>
      <w:r>
        <w:rPr>
          <w:rStyle w:val="VerbatimChar"/>
        </w:rPr>
        <w:t xml:space="preserve">aivm/model_registry.rs</w:t>
      </w:r>
    </w:p>
    <w:p>
      <w:pPr>
        <w:pStyle w:val="Compact"/>
        <w:numPr>
          <w:ilvl w:val="0"/>
          <w:numId w:val="1039"/>
        </w:numPr>
      </w:pPr>
      <w:r>
        <w:rPr>
          <w:rStyle w:val="VerbatimChar"/>
        </w:rPr>
        <w:t xml:space="preserve">aivm/provider.rs</w:t>
      </w:r>
    </w:p>
    <w:p>
      <w:pPr>
        <w:pStyle w:val="Compact"/>
        <w:numPr>
          <w:ilvl w:val="0"/>
          <w:numId w:val="1039"/>
        </w:numPr>
      </w:pPr>
      <w:r>
        <w:rPr>
          <w:rStyle w:val="VerbatimChar"/>
        </w:rPr>
        <w:t xml:space="preserve">aivm/runtime.rs</w:t>
      </w:r>
    </w:p>
    <w:p>
      <w:pPr>
        <w:pStyle w:val="Compact"/>
        <w:numPr>
          <w:ilvl w:val="0"/>
          <w:numId w:val="1039"/>
        </w:numPr>
      </w:pPr>
      <w:r>
        <w:rPr>
          <w:rStyle w:val="VerbatimChar"/>
        </w:rPr>
        <w:t xml:space="preserve">aivm/verifier.rs</w:t>
      </w:r>
    </w:p>
    <w:p>
      <w:pPr>
        <w:pStyle w:val="Compact"/>
        <w:numPr>
          <w:ilvl w:val="0"/>
          <w:numId w:val="1039"/>
        </w:numPr>
      </w:pPr>
      <w:r>
        <w:rPr>
          <w:rStyle w:val="VerbatimChar"/>
        </w:rPr>
        <w:t xml:space="preserve">aivm/wasm_vm.rs</w:t>
      </w:r>
    </w:p>
    <w:bookmarkEnd w:id="74"/>
    <w:bookmarkStart w:id="75" w:name="bin"/>
    <w:p>
      <w:pPr>
        <w:pStyle w:val="Heading2"/>
      </w:pPr>
      <w:r>
        <w:rPr>
          <w:rStyle w:val="VerbatimChar"/>
        </w:rPr>
        <w:t xml:space="preserve">bin/</w:t>
      </w:r>
    </w:p>
    <w:p>
      <w:pPr>
        <w:pStyle w:val="Compact"/>
        <w:numPr>
          <w:ilvl w:val="0"/>
          <w:numId w:val="1040"/>
        </w:numPr>
      </w:pPr>
      <w:r>
        <w:rPr>
          <w:rStyle w:val="VerbatimChar"/>
        </w:rPr>
        <w:t xml:space="preserve">bin/synergy-aegis-cryptography-node.rs</w:t>
      </w:r>
    </w:p>
    <w:p>
      <w:pPr>
        <w:pStyle w:val="Compact"/>
        <w:numPr>
          <w:ilvl w:val="0"/>
          <w:numId w:val="1040"/>
        </w:numPr>
      </w:pPr>
      <w:r>
        <w:rPr>
          <w:rStyle w:val="VerbatimChar"/>
        </w:rPr>
        <w:t xml:space="preserve">bin/synergy-analytics-and-simulation-node.rs</w:t>
      </w:r>
    </w:p>
    <w:p>
      <w:pPr>
        <w:pStyle w:val="Compact"/>
        <w:numPr>
          <w:ilvl w:val="0"/>
          <w:numId w:val="1040"/>
        </w:numPr>
      </w:pPr>
      <w:r>
        <w:rPr>
          <w:rStyle w:val="VerbatimChar"/>
        </w:rPr>
        <w:t xml:space="preserve">bin/synergy-archive-validator-node.rs</w:t>
      </w:r>
    </w:p>
    <w:p>
      <w:pPr>
        <w:pStyle w:val="Compact"/>
        <w:numPr>
          <w:ilvl w:val="0"/>
          <w:numId w:val="1040"/>
        </w:numPr>
      </w:pPr>
      <w:r>
        <w:rPr>
          <w:rStyle w:val="VerbatimChar"/>
        </w:rPr>
        <w:t xml:space="preserve">bin/synergy-audit-validator-node.rs</w:t>
      </w:r>
    </w:p>
    <w:p>
      <w:pPr>
        <w:pStyle w:val="Compact"/>
        <w:numPr>
          <w:ilvl w:val="0"/>
          <w:numId w:val="1040"/>
        </w:numPr>
      </w:pPr>
      <w:r>
        <w:rPr>
          <w:rStyle w:val="VerbatimChar"/>
        </w:rPr>
        <w:t xml:space="preserve">bin/synergy-committee-node.rs</w:t>
      </w:r>
    </w:p>
    <w:p>
      <w:pPr>
        <w:pStyle w:val="Compact"/>
        <w:numPr>
          <w:ilvl w:val="0"/>
          <w:numId w:val="1040"/>
        </w:numPr>
      </w:pPr>
      <w:r>
        <w:rPr>
          <w:rStyle w:val="VerbatimChar"/>
        </w:rPr>
        <w:t xml:space="preserve">bin/synergy-cross-chain-verifier-node.rs</w:t>
      </w:r>
    </w:p>
    <w:p>
      <w:pPr>
        <w:pStyle w:val="Compact"/>
        <w:numPr>
          <w:ilvl w:val="0"/>
          <w:numId w:val="1040"/>
        </w:numPr>
      </w:pPr>
      <w:r>
        <w:rPr>
          <w:rStyle w:val="VerbatimChar"/>
        </w:rPr>
        <w:t xml:space="preserve">bin/synergy-data-availability-node.rs</w:t>
      </w:r>
    </w:p>
    <w:p>
      <w:pPr>
        <w:pStyle w:val="Compact"/>
        <w:numPr>
          <w:ilvl w:val="0"/>
          <w:numId w:val="1040"/>
        </w:numPr>
      </w:pPr>
      <w:r>
        <w:rPr>
          <w:rStyle w:val="VerbatimChar"/>
        </w:rPr>
        <w:t xml:space="preserve">bin/synergy-governance-auditor-node.rs</w:t>
      </w:r>
    </w:p>
    <w:p>
      <w:pPr>
        <w:pStyle w:val="Compact"/>
        <w:numPr>
          <w:ilvl w:val="0"/>
          <w:numId w:val="1040"/>
        </w:numPr>
      </w:pPr>
      <w:r>
        <w:rPr>
          <w:rStyle w:val="VerbatimChar"/>
        </w:rPr>
        <w:t xml:space="preserve">bin/synergy-indexer-and-explorer-node.rs</w:t>
      </w:r>
    </w:p>
    <w:p>
      <w:pPr>
        <w:pStyle w:val="Compact"/>
        <w:numPr>
          <w:ilvl w:val="0"/>
          <w:numId w:val="1040"/>
        </w:numPr>
      </w:pPr>
      <w:r>
        <w:rPr>
          <w:rStyle w:val="VerbatimChar"/>
        </w:rPr>
        <w:t xml:space="preserve">bin/synergy-observer-light-node.rs</w:t>
      </w:r>
    </w:p>
    <w:p>
      <w:pPr>
        <w:pStyle w:val="Compact"/>
        <w:numPr>
          <w:ilvl w:val="0"/>
          <w:numId w:val="1040"/>
        </w:numPr>
      </w:pPr>
      <w:r>
        <w:rPr>
          <w:rStyle w:val="VerbatimChar"/>
        </w:rPr>
        <w:t xml:space="preserve">bin/synergy-oracle-node.rs</w:t>
      </w:r>
    </w:p>
    <w:p>
      <w:pPr>
        <w:pStyle w:val="Compact"/>
        <w:numPr>
          <w:ilvl w:val="0"/>
          <w:numId w:val="1040"/>
        </w:numPr>
      </w:pPr>
      <w:r>
        <w:rPr>
          <w:rStyle w:val="VerbatimChar"/>
        </w:rPr>
        <w:t xml:space="preserve">bin/synergy-relayer-node.rs</w:t>
      </w:r>
    </w:p>
    <w:p>
      <w:pPr>
        <w:pStyle w:val="Compact"/>
        <w:numPr>
          <w:ilvl w:val="0"/>
          <w:numId w:val="1040"/>
        </w:numPr>
      </w:pPr>
      <w:r>
        <w:rPr>
          <w:rStyle w:val="VerbatimChar"/>
        </w:rPr>
        <w:t xml:space="preserve">bin/synergy-rpc-gateway-node.rs</w:t>
      </w:r>
    </w:p>
    <w:p>
      <w:pPr>
        <w:pStyle w:val="Compact"/>
        <w:numPr>
          <w:ilvl w:val="0"/>
          <w:numId w:val="1040"/>
        </w:numPr>
      </w:pPr>
      <w:r>
        <w:rPr>
          <w:rStyle w:val="VerbatimChar"/>
        </w:rPr>
        <w:t xml:space="preserve">bin/synergy-security-council-node.rs</w:t>
      </w:r>
    </w:p>
    <w:p>
      <w:pPr>
        <w:pStyle w:val="Compact"/>
        <w:numPr>
          <w:ilvl w:val="0"/>
          <w:numId w:val="1040"/>
        </w:numPr>
      </w:pPr>
      <w:r>
        <w:rPr>
          <w:rStyle w:val="VerbatimChar"/>
        </w:rPr>
        <w:t xml:space="preserve">bin/synergy-synq-execution-node.rs</w:t>
      </w:r>
    </w:p>
    <w:p>
      <w:pPr>
        <w:pStyle w:val="Compact"/>
        <w:numPr>
          <w:ilvl w:val="0"/>
          <w:numId w:val="1040"/>
        </w:numPr>
      </w:pPr>
      <w:r>
        <w:rPr>
          <w:rStyle w:val="VerbatimChar"/>
        </w:rPr>
        <w:t xml:space="preserve">bin/synergy-treasury-controller-node.rs</w:t>
      </w:r>
    </w:p>
    <w:p>
      <w:pPr>
        <w:pStyle w:val="Compact"/>
        <w:numPr>
          <w:ilvl w:val="0"/>
          <w:numId w:val="1040"/>
        </w:numPr>
      </w:pPr>
      <w:r>
        <w:rPr>
          <w:rStyle w:val="VerbatimChar"/>
        </w:rPr>
        <w:t xml:space="preserve">bin/synergy-uma-coordinator-node.rs</w:t>
      </w:r>
    </w:p>
    <w:p>
      <w:pPr>
        <w:pStyle w:val="Compact"/>
        <w:numPr>
          <w:ilvl w:val="0"/>
          <w:numId w:val="1040"/>
        </w:numPr>
      </w:pPr>
      <w:r>
        <w:rPr>
          <w:rStyle w:val="VerbatimChar"/>
        </w:rPr>
        <w:t xml:space="preserve">bin/synergy-validator-node.rs</w:t>
      </w:r>
    </w:p>
    <w:p>
      <w:pPr>
        <w:pStyle w:val="Compact"/>
        <w:numPr>
          <w:ilvl w:val="0"/>
          <w:numId w:val="1040"/>
        </w:numPr>
      </w:pPr>
      <w:r>
        <w:rPr>
          <w:rStyle w:val="VerbatimChar"/>
        </w:rPr>
        <w:t xml:space="preserve">bin/synergy-witness-node.rs</w:t>
      </w:r>
    </w:p>
    <w:p>
      <w:pPr>
        <w:pStyle w:val="Compact"/>
        <w:numPr>
          <w:ilvl w:val="0"/>
          <w:numId w:val="1040"/>
        </w:numPr>
      </w:pPr>
      <w:r>
        <w:rPr>
          <w:rStyle w:val="VerbatimChar"/>
        </w:rPr>
        <w:t xml:space="preserve">bin/wallet_pqc_cli.rs</w:t>
      </w:r>
    </w:p>
    <w:bookmarkEnd w:id="75"/>
    <w:bookmarkStart w:id="76" w:name="config"/>
    <w:p>
      <w:pPr>
        <w:pStyle w:val="Heading2"/>
      </w:pPr>
      <w:r>
        <w:rPr>
          <w:rStyle w:val="VerbatimChar"/>
        </w:rPr>
        <w:t xml:space="preserve">config/</w:t>
      </w:r>
    </w:p>
    <w:p>
      <w:pPr>
        <w:pStyle w:val="Compact"/>
        <w:numPr>
          <w:ilvl w:val="0"/>
          <w:numId w:val="1041"/>
        </w:numPr>
      </w:pPr>
      <w:r>
        <w:rPr>
          <w:rStyle w:val="VerbatimChar"/>
        </w:rPr>
        <w:t xml:space="preserve">config/mod.rs</w:t>
      </w:r>
    </w:p>
    <w:bookmarkEnd w:id="76"/>
    <w:bookmarkStart w:id="77" w:name="consensus"/>
    <w:p>
      <w:pPr>
        <w:pStyle w:val="Heading2"/>
      </w:pPr>
      <w:r>
        <w:rPr>
          <w:rStyle w:val="VerbatimChar"/>
        </w:rPr>
        <w:t xml:space="preserve">consensus/</w:t>
      </w:r>
    </w:p>
    <w:p>
      <w:pPr>
        <w:pStyle w:val="Compact"/>
        <w:numPr>
          <w:ilvl w:val="0"/>
          <w:numId w:val="1042"/>
        </w:numPr>
      </w:pPr>
      <w:r>
        <w:rPr>
          <w:rStyle w:val="VerbatimChar"/>
        </w:rPr>
        <w:t xml:space="preserve">consensus/cartel_detection.rs</w:t>
      </w:r>
    </w:p>
    <w:p>
      <w:pPr>
        <w:pStyle w:val="Compact"/>
        <w:numPr>
          <w:ilvl w:val="0"/>
          <w:numId w:val="1042"/>
        </w:numPr>
      </w:pPr>
      <w:r>
        <w:rPr>
          <w:rStyle w:val="VerbatimChar"/>
        </w:rPr>
        <w:t xml:space="preserve">consensus/consensus_algorithm.rs</w:t>
      </w:r>
    </w:p>
    <w:p>
      <w:pPr>
        <w:pStyle w:val="Compact"/>
        <w:numPr>
          <w:ilvl w:val="0"/>
          <w:numId w:val="1042"/>
        </w:numPr>
      </w:pPr>
      <w:r>
        <w:rPr>
          <w:rStyle w:val="VerbatimChar"/>
        </w:rPr>
        <w:t xml:space="preserve">consensus/dao_governance.rs</w:t>
      </w:r>
    </w:p>
    <w:p>
      <w:pPr>
        <w:pStyle w:val="Compact"/>
        <w:numPr>
          <w:ilvl w:val="0"/>
          <w:numId w:val="1042"/>
        </w:numPr>
      </w:pPr>
      <w:r>
        <w:rPr>
          <w:rStyle w:val="VerbatimChar"/>
        </w:rPr>
        <w:t xml:space="preserve">consensus/dual_quorum.rs</w:t>
      </w:r>
    </w:p>
    <w:p>
      <w:pPr>
        <w:pStyle w:val="Compact"/>
        <w:numPr>
          <w:ilvl w:val="0"/>
          <w:numId w:val="1042"/>
        </w:numPr>
      </w:pPr>
      <w:r>
        <w:rPr>
          <w:rStyle w:val="VerbatimChar"/>
        </w:rPr>
        <w:t xml:space="preserve">consensus/mod.rs</w:t>
      </w:r>
    </w:p>
    <w:p>
      <w:pPr>
        <w:pStyle w:val="Compact"/>
        <w:numPr>
          <w:ilvl w:val="0"/>
          <w:numId w:val="1042"/>
        </w:numPr>
      </w:pPr>
      <w:r>
        <w:rPr>
          <w:rStyle w:val="VerbatimChar"/>
        </w:rPr>
        <w:t xml:space="preserve">consensus/synergy_score.rs</w:t>
      </w:r>
    </w:p>
    <w:p>
      <w:pPr>
        <w:pStyle w:val="Compact"/>
        <w:numPr>
          <w:ilvl w:val="0"/>
          <w:numId w:val="1042"/>
        </w:numPr>
      </w:pPr>
      <w:r>
        <w:rPr>
          <w:rStyle w:val="VerbatimChar"/>
        </w:rPr>
        <w:t xml:space="preserve">consensus/tests.rs</w:t>
      </w:r>
    </w:p>
    <w:p>
      <w:pPr>
        <w:pStyle w:val="Compact"/>
        <w:numPr>
          <w:ilvl w:val="0"/>
          <w:numId w:val="1042"/>
        </w:numPr>
      </w:pPr>
      <w:r>
        <w:rPr>
          <w:rStyle w:val="VerbatimChar"/>
        </w:rPr>
        <w:t xml:space="preserve">consensus/vrf.rs</w:t>
      </w:r>
    </w:p>
    <w:bookmarkEnd w:id="77"/>
    <w:bookmarkStart w:id="78" w:name="crypto"/>
    <w:p>
      <w:pPr>
        <w:pStyle w:val="Heading2"/>
      </w:pPr>
      <w:r>
        <w:rPr>
          <w:rStyle w:val="VerbatimChar"/>
        </w:rPr>
        <w:t xml:space="preserve">crypto/</w:t>
      </w:r>
    </w:p>
    <w:p>
      <w:pPr>
        <w:pStyle w:val="Compact"/>
        <w:numPr>
          <w:ilvl w:val="0"/>
          <w:numId w:val="1043"/>
        </w:numPr>
      </w:pPr>
      <w:r>
        <w:rPr>
          <w:rStyle w:val="VerbatimChar"/>
        </w:rPr>
        <w:t xml:space="preserve">crypto/mod.rs</w:t>
      </w:r>
    </w:p>
    <w:p>
      <w:pPr>
        <w:pStyle w:val="Compact"/>
        <w:numPr>
          <w:ilvl w:val="0"/>
          <w:numId w:val="1043"/>
        </w:numPr>
      </w:pPr>
      <w:r>
        <w:rPr>
          <w:rStyle w:val="VerbatimChar"/>
        </w:rPr>
        <w:t xml:space="preserve">crypto/pqc.rs</w:t>
      </w:r>
    </w:p>
    <w:bookmarkEnd w:id="78"/>
    <w:bookmarkStart w:id="79" w:name="gas"/>
    <w:p>
      <w:pPr>
        <w:pStyle w:val="Heading2"/>
      </w:pPr>
      <w:r>
        <w:rPr>
          <w:rStyle w:val="VerbatimChar"/>
        </w:rPr>
        <w:t xml:space="preserve">gas/</w:t>
      </w:r>
    </w:p>
    <w:p>
      <w:pPr>
        <w:pStyle w:val="Compact"/>
        <w:numPr>
          <w:ilvl w:val="0"/>
          <w:numId w:val="1044"/>
        </w:numPr>
      </w:pPr>
      <w:r>
        <w:rPr>
          <w:rStyle w:val="VerbatimChar"/>
        </w:rPr>
        <w:t xml:space="preserve">gas/mod.rs</w:t>
      </w:r>
    </w:p>
    <w:bookmarkEnd w:id="79"/>
    <w:bookmarkStart w:id="80" w:name="node"/>
    <w:p>
      <w:pPr>
        <w:pStyle w:val="Heading2"/>
      </w:pPr>
      <w:r>
        <w:rPr>
          <w:rStyle w:val="VerbatimChar"/>
        </w:rPr>
        <w:t xml:space="preserve">node/</w:t>
      </w:r>
    </w:p>
    <w:p>
      <w:pPr>
        <w:pStyle w:val="Compact"/>
        <w:numPr>
          <w:ilvl w:val="0"/>
          <w:numId w:val="1045"/>
        </w:numPr>
      </w:pPr>
      <w:r>
        <w:rPr>
          <w:rStyle w:val="VerbatimChar"/>
        </w:rPr>
        <w:t xml:space="preserve">node/mod.rs</w:t>
      </w:r>
    </w:p>
    <w:p>
      <w:pPr>
        <w:pStyle w:val="Compact"/>
        <w:numPr>
          <w:ilvl w:val="0"/>
          <w:numId w:val="1045"/>
        </w:numPr>
      </w:pPr>
      <w:r>
        <w:rPr>
          <w:rStyle w:val="VerbatimChar"/>
        </w:rPr>
        <w:t xml:space="preserve">node/synergyd.rs</w:t>
      </w:r>
    </w:p>
    <w:bookmarkEnd w:id="80"/>
    <w:bookmarkStart w:id="81" w:name="p2p"/>
    <w:p>
      <w:pPr>
        <w:pStyle w:val="Heading2"/>
      </w:pPr>
      <w:r>
        <w:rPr>
          <w:rStyle w:val="VerbatimChar"/>
        </w:rPr>
        <w:t xml:space="preserve">p2p/</w:t>
      </w:r>
    </w:p>
    <w:p>
      <w:pPr>
        <w:pStyle w:val="Compact"/>
        <w:numPr>
          <w:ilvl w:val="0"/>
          <w:numId w:val="1046"/>
        </w:numPr>
      </w:pPr>
      <w:r>
        <w:rPr>
          <w:rStyle w:val="VerbatimChar"/>
        </w:rPr>
        <w:t xml:space="preserve">p2p/identity.rs</w:t>
      </w:r>
    </w:p>
    <w:p>
      <w:pPr>
        <w:pStyle w:val="Compact"/>
        <w:numPr>
          <w:ilvl w:val="0"/>
          <w:numId w:val="1046"/>
        </w:numPr>
      </w:pPr>
      <w:r>
        <w:rPr>
          <w:rStyle w:val="VerbatimChar"/>
        </w:rPr>
        <w:t xml:space="preserve">p2p/messages.rs</w:t>
      </w:r>
    </w:p>
    <w:p>
      <w:pPr>
        <w:pStyle w:val="Compact"/>
        <w:numPr>
          <w:ilvl w:val="0"/>
          <w:numId w:val="1046"/>
        </w:numPr>
      </w:pPr>
      <w:r>
        <w:rPr>
          <w:rStyle w:val="VerbatimChar"/>
        </w:rPr>
        <w:t xml:space="preserve">p2p/mod.rs</w:t>
      </w:r>
    </w:p>
    <w:p>
      <w:pPr>
        <w:pStyle w:val="Compact"/>
        <w:numPr>
          <w:ilvl w:val="0"/>
          <w:numId w:val="1046"/>
        </w:numPr>
      </w:pPr>
      <w:r>
        <w:rPr>
          <w:rStyle w:val="VerbatimChar"/>
        </w:rPr>
        <w:t xml:space="preserve">p2p/networking.rs</w:t>
      </w:r>
    </w:p>
    <w:bookmarkEnd w:id="81"/>
    <w:bookmarkStart w:id="82" w:name="rpc"/>
    <w:p>
      <w:pPr>
        <w:pStyle w:val="Heading2"/>
      </w:pPr>
      <w:r>
        <w:rPr>
          <w:rStyle w:val="VerbatimChar"/>
        </w:rPr>
        <w:t xml:space="preserve">rpc/</w:t>
      </w:r>
    </w:p>
    <w:p>
      <w:pPr>
        <w:pStyle w:val="Compact"/>
        <w:numPr>
          <w:ilvl w:val="0"/>
          <w:numId w:val="1047"/>
        </w:numPr>
      </w:pPr>
      <w:r>
        <w:rPr>
          <w:rStyle w:val="VerbatimChar"/>
        </w:rPr>
        <w:t xml:space="preserve">rpc/mod.rs</w:t>
      </w:r>
    </w:p>
    <w:p>
      <w:pPr>
        <w:pStyle w:val="Compact"/>
        <w:numPr>
          <w:ilvl w:val="0"/>
          <w:numId w:val="1047"/>
        </w:numPr>
      </w:pPr>
      <w:r>
        <w:rPr>
          <w:rStyle w:val="VerbatimChar"/>
        </w:rPr>
        <w:t xml:space="preserve">rpc/rpc_server.rs</w:t>
      </w:r>
    </w:p>
    <w:p>
      <w:pPr>
        <w:pStyle w:val="Compact"/>
        <w:numPr>
          <w:ilvl w:val="0"/>
          <w:numId w:val="1047"/>
        </w:numPr>
      </w:pPr>
      <w:r>
        <w:rPr>
          <w:rStyle w:val="VerbatimChar"/>
        </w:rPr>
        <w:t xml:space="preserve">rpc/rpc_server.rs.bak</w:t>
      </w:r>
    </w:p>
    <w:bookmarkEnd w:id="82"/>
    <w:bookmarkStart w:id="83" w:name="sxcp"/>
    <w:p>
      <w:pPr>
        <w:pStyle w:val="Heading2"/>
      </w:pPr>
      <w:r>
        <w:rPr>
          <w:rStyle w:val="VerbatimChar"/>
        </w:rPr>
        <w:t xml:space="preserve">sxcp/</w:t>
      </w:r>
    </w:p>
    <w:p>
      <w:pPr>
        <w:pStyle w:val="Compact"/>
        <w:numPr>
          <w:ilvl w:val="0"/>
          <w:numId w:val="1048"/>
        </w:numPr>
      </w:pPr>
      <w:r>
        <w:rPr>
          <w:rStyle w:val="VerbatimChar"/>
        </w:rPr>
        <w:t xml:space="preserve">sxcp/mod.rs</w:t>
      </w:r>
    </w:p>
    <w:bookmarkEnd w:id="83"/>
    <w:bookmarkStart w:id="84" w:name="sync"/>
    <w:p>
      <w:pPr>
        <w:pStyle w:val="Heading2"/>
      </w:pPr>
      <w:r>
        <w:rPr>
          <w:rStyle w:val="VerbatimChar"/>
        </w:rPr>
        <w:t xml:space="preserve">sync/</w:t>
      </w:r>
    </w:p>
    <w:p>
      <w:pPr>
        <w:pStyle w:val="Compact"/>
        <w:numPr>
          <w:ilvl w:val="0"/>
          <w:numId w:val="1049"/>
        </w:numPr>
      </w:pPr>
      <w:r>
        <w:rPr>
          <w:rStyle w:val="VerbatimChar"/>
        </w:rPr>
        <w:t xml:space="preserve">sync/fast_sync.rs</w:t>
      </w:r>
    </w:p>
    <w:p>
      <w:pPr>
        <w:pStyle w:val="Compact"/>
        <w:numPr>
          <w:ilvl w:val="0"/>
          <w:numId w:val="1049"/>
        </w:numPr>
      </w:pPr>
      <w:r>
        <w:rPr>
          <w:rStyle w:val="VerbatimChar"/>
        </w:rPr>
        <w:t xml:space="preserve">sync/full_sync.rs</w:t>
      </w:r>
    </w:p>
    <w:p>
      <w:pPr>
        <w:pStyle w:val="Compact"/>
        <w:numPr>
          <w:ilvl w:val="0"/>
          <w:numId w:val="1049"/>
        </w:numPr>
      </w:pPr>
      <w:r>
        <w:rPr>
          <w:rStyle w:val="VerbatimChar"/>
        </w:rPr>
        <w:t xml:space="preserve">sync/manager.rs</w:t>
      </w:r>
    </w:p>
    <w:p>
      <w:pPr>
        <w:pStyle w:val="Compact"/>
        <w:numPr>
          <w:ilvl w:val="0"/>
          <w:numId w:val="1049"/>
        </w:numPr>
      </w:pPr>
      <w:r>
        <w:rPr>
          <w:rStyle w:val="VerbatimChar"/>
        </w:rPr>
        <w:t xml:space="preserve">sync/mod.rs</w:t>
      </w:r>
    </w:p>
    <w:p>
      <w:pPr>
        <w:pStyle w:val="Compact"/>
        <w:numPr>
          <w:ilvl w:val="0"/>
          <w:numId w:val="1049"/>
        </w:numPr>
      </w:pPr>
      <w:r>
        <w:rPr>
          <w:rStyle w:val="VerbatimChar"/>
        </w:rPr>
        <w:t xml:space="preserve">sync/state_sync.rs</w:t>
      </w:r>
    </w:p>
    <w:p>
      <w:pPr>
        <w:pStyle w:val="Compact"/>
        <w:numPr>
          <w:ilvl w:val="0"/>
          <w:numId w:val="1049"/>
        </w:numPr>
      </w:pPr>
      <w:r>
        <w:rPr>
          <w:rStyle w:val="VerbatimChar"/>
        </w:rPr>
        <w:t xml:space="preserve">sync/validation.rs</w:t>
      </w:r>
    </w:p>
    <w:bookmarkEnd w:id="84"/>
    <w:bookmarkStart w:id="85" w:name="synergy-address-engine"/>
    <w:p>
      <w:pPr>
        <w:pStyle w:val="Heading2"/>
      </w:pPr>
      <w:r>
        <w:rPr>
          <w:rStyle w:val="VerbatimChar"/>
        </w:rPr>
        <w:t xml:space="preserve">synergy-address-engine/</w:t>
      </w:r>
    </w:p>
    <w:p>
      <w:pPr>
        <w:pStyle w:val="Compact"/>
        <w:numPr>
          <w:ilvl w:val="0"/>
          <w:numId w:val="1050"/>
        </w:numPr>
      </w:pPr>
      <w:r>
        <w:rPr>
          <w:rStyle w:val="VerbatimChar"/>
        </w:rPr>
        <w:t xml:space="preserve">synergy-address-engine/Cargo.lock</w:t>
      </w:r>
    </w:p>
    <w:p>
      <w:pPr>
        <w:pStyle w:val="Compact"/>
        <w:numPr>
          <w:ilvl w:val="0"/>
          <w:numId w:val="1050"/>
        </w:numPr>
      </w:pPr>
      <w:r>
        <w:rPr>
          <w:rStyle w:val="VerbatimChar"/>
        </w:rPr>
        <w:t xml:space="preserve">synergy-address-engine/Cargo.toml</w:t>
      </w:r>
    </w:p>
    <w:p>
      <w:pPr>
        <w:pStyle w:val="Compact"/>
        <w:numPr>
          <w:ilvl w:val="0"/>
          <w:numId w:val="1050"/>
        </w:numPr>
      </w:pPr>
      <w:r>
        <w:rPr>
          <w:rStyle w:val="VerbatimChar"/>
        </w:rPr>
        <w:t xml:space="preserve">synergy-address-engine/devnet_generator.rs</w:t>
      </w:r>
    </w:p>
    <w:p>
      <w:pPr>
        <w:pStyle w:val="Compact"/>
        <w:numPr>
          <w:ilvl w:val="0"/>
          <w:numId w:val="1050"/>
        </w:numPr>
      </w:pPr>
      <w:r>
        <w:rPr>
          <w:rStyle w:val="VerbatimChar"/>
        </w:rPr>
        <w:t xml:space="preserve">synergy-address-engine/readme_doc.md</w:t>
      </w:r>
    </w:p>
    <w:p>
      <w:pPr>
        <w:pStyle w:val="Compact"/>
        <w:numPr>
          <w:ilvl w:val="0"/>
          <w:numId w:val="1050"/>
        </w:numPr>
      </w:pPr>
      <w:r>
        <w:rPr>
          <w:rStyle w:val="VerbatimChar"/>
        </w:rPr>
        <w:t xml:space="preserve">synergy-address-engine/src/main.rs</w:t>
      </w:r>
    </w:p>
    <w:bookmarkEnd w:id="85"/>
    <w:bookmarkStart w:id="86" w:name="synq"/>
    <w:p>
      <w:pPr>
        <w:pStyle w:val="Heading2"/>
      </w:pPr>
      <w:r>
        <w:rPr>
          <w:rStyle w:val="VerbatimChar"/>
        </w:rPr>
        <w:t xml:space="preserve">synq/</w:t>
      </w:r>
    </w:p>
    <w:p>
      <w:pPr>
        <w:pStyle w:val="Compact"/>
        <w:numPr>
          <w:ilvl w:val="0"/>
          <w:numId w:val="1051"/>
        </w:numPr>
      </w:pPr>
      <w:r>
        <w:rPr>
          <w:rStyle w:val="VerbatimChar"/>
        </w:rPr>
        <w:t xml:space="preserve">synq/compiler.rs</w:t>
      </w:r>
    </w:p>
    <w:p>
      <w:pPr>
        <w:pStyle w:val="Compact"/>
        <w:numPr>
          <w:ilvl w:val="0"/>
          <w:numId w:val="1051"/>
        </w:numPr>
      </w:pPr>
      <w:r>
        <w:rPr>
          <w:rStyle w:val="VerbatimChar"/>
        </w:rPr>
        <w:t xml:space="preserve">synq/interpreter.rs</w:t>
      </w:r>
    </w:p>
    <w:p>
      <w:pPr>
        <w:pStyle w:val="Compact"/>
        <w:numPr>
          <w:ilvl w:val="0"/>
          <w:numId w:val="1051"/>
        </w:numPr>
      </w:pPr>
      <w:r>
        <w:rPr>
          <w:rStyle w:val="VerbatimChar"/>
        </w:rPr>
        <w:t xml:space="preserve">synq/mod.rs</w:t>
      </w:r>
    </w:p>
    <w:bookmarkEnd w:id="86"/>
    <w:bookmarkEnd w:id="87"/>
    <w:bookmarkStart w:id="88" w:name="appendix-b.-document-corpus-reviewed"/>
    <w:p>
      <w:pPr>
        <w:pStyle w:val="Heading1"/>
      </w:pPr>
      <w:r>
        <w:t xml:space="preserve">Appendix B. Document corpus reviewed</w:t>
      </w:r>
    </w:p>
    <w:p>
      <w:pPr>
        <w:pStyle w:val="Compact"/>
        <w:numPr>
          <w:ilvl w:val="0"/>
          <w:numId w:val="1052"/>
        </w:numPr>
      </w:pPr>
      <w:r>
        <w:rPr>
          <w:rStyle w:val="VerbatimChar"/>
        </w:rPr>
        <w:t xml:space="preserve">00-a-toc.docx</w:t>
      </w:r>
    </w:p>
    <w:p>
      <w:pPr>
        <w:pStyle w:val="Compact"/>
        <w:numPr>
          <w:ilvl w:val="0"/>
          <w:numId w:val="1052"/>
        </w:numPr>
      </w:pPr>
      <w:r>
        <w:rPr>
          <w:rStyle w:val="VerbatimChar"/>
        </w:rPr>
        <w:t xml:space="preserve">00-a-toc.md</w:t>
      </w:r>
    </w:p>
    <w:p>
      <w:pPr>
        <w:pStyle w:val="Compact"/>
        <w:numPr>
          <w:ilvl w:val="0"/>
          <w:numId w:val="1052"/>
        </w:numPr>
      </w:pPr>
      <w:r>
        <w:rPr>
          <w:rStyle w:val="VerbatimChar"/>
        </w:rPr>
        <w:t xml:space="preserve">00-b-front-matter.docx</w:t>
      </w:r>
    </w:p>
    <w:p>
      <w:pPr>
        <w:pStyle w:val="Compact"/>
        <w:numPr>
          <w:ilvl w:val="0"/>
          <w:numId w:val="1052"/>
        </w:numPr>
      </w:pPr>
      <w:r>
        <w:rPr>
          <w:rStyle w:val="VerbatimChar"/>
        </w:rPr>
        <w:t xml:space="preserve">00-b-front-matter.md</w:t>
      </w:r>
    </w:p>
    <w:p>
      <w:pPr>
        <w:pStyle w:val="Compact"/>
        <w:numPr>
          <w:ilvl w:val="0"/>
          <w:numId w:val="1052"/>
        </w:numPr>
      </w:pPr>
      <w:r>
        <w:rPr>
          <w:rStyle w:val="VerbatimChar"/>
        </w:rPr>
        <w:t xml:space="preserve">01-context-motivation-design.docx</w:t>
      </w:r>
    </w:p>
    <w:p>
      <w:pPr>
        <w:pStyle w:val="Compact"/>
        <w:numPr>
          <w:ilvl w:val="0"/>
          <w:numId w:val="1052"/>
        </w:numPr>
      </w:pPr>
      <w:r>
        <w:rPr>
          <w:rStyle w:val="VerbatimChar"/>
        </w:rPr>
        <w:t xml:space="preserve">01-context-motivation-design.md</w:t>
      </w:r>
    </w:p>
    <w:p>
      <w:pPr>
        <w:pStyle w:val="Compact"/>
        <w:numPr>
          <w:ilvl w:val="0"/>
          <w:numId w:val="1052"/>
        </w:numPr>
      </w:pPr>
      <w:r>
        <w:rPr>
          <w:rStyle w:val="VerbatimChar"/>
        </w:rPr>
        <w:t xml:space="preserve">02-system-architecture.docx</w:t>
      </w:r>
    </w:p>
    <w:p>
      <w:pPr>
        <w:pStyle w:val="Compact"/>
        <w:numPr>
          <w:ilvl w:val="0"/>
          <w:numId w:val="1052"/>
        </w:numPr>
      </w:pPr>
      <w:r>
        <w:rPr>
          <w:rStyle w:val="VerbatimChar"/>
        </w:rPr>
        <w:t xml:space="preserve">02-system-architecture.md</w:t>
      </w:r>
    </w:p>
    <w:p>
      <w:pPr>
        <w:pStyle w:val="Compact"/>
        <w:numPr>
          <w:ilvl w:val="0"/>
          <w:numId w:val="1052"/>
        </w:numPr>
      </w:pPr>
      <w:r>
        <w:rPr>
          <w:rStyle w:val="VerbatimChar"/>
        </w:rPr>
        <w:t xml:space="preserve">03-proof-of-synergy-consensus.docx</w:t>
      </w:r>
    </w:p>
    <w:p>
      <w:pPr>
        <w:pStyle w:val="Compact"/>
        <w:numPr>
          <w:ilvl w:val="0"/>
          <w:numId w:val="1052"/>
        </w:numPr>
      </w:pPr>
      <w:r>
        <w:rPr>
          <w:rStyle w:val="VerbatimChar"/>
        </w:rPr>
        <w:t xml:space="preserve">03-proof-of-synergy-consensus.md</w:t>
      </w:r>
    </w:p>
    <w:p>
      <w:pPr>
        <w:pStyle w:val="Compact"/>
        <w:numPr>
          <w:ilvl w:val="0"/>
          <w:numId w:val="1052"/>
        </w:numPr>
      </w:pPr>
      <w:r>
        <w:rPr>
          <w:rStyle w:val="VerbatimChar"/>
        </w:rPr>
        <w:t xml:space="preserve">04-aegis-pqc-core.docx</w:t>
      </w:r>
    </w:p>
    <w:p>
      <w:pPr>
        <w:pStyle w:val="Compact"/>
        <w:numPr>
          <w:ilvl w:val="0"/>
          <w:numId w:val="1052"/>
        </w:numPr>
      </w:pPr>
      <w:r>
        <w:rPr>
          <w:rStyle w:val="VerbatimChar"/>
        </w:rPr>
        <w:t xml:space="preserve">04-aegis-pqc-core.md</w:t>
      </w:r>
    </w:p>
    <w:p>
      <w:pPr>
        <w:pStyle w:val="Compact"/>
        <w:numPr>
          <w:ilvl w:val="0"/>
          <w:numId w:val="1052"/>
        </w:numPr>
      </w:pPr>
      <w:r>
        <w:rPr>
          <w:rStyle w:val="VerbatimChar"/>
        </w:rPr>
        <w:t xml:space="preserve">05-interoperability-and-execution-protocols.docx</w:t>
      </w:r>
    </w:p>
    <w:p>
      <w:pPr>
        <w:pStyle w:val="Compact"/>
        <w:numPr>
          <w:ilvl w:val="0"/>
          <w:numId w:val="1052"/>
        </w:numPr>
      </w:pPr>
      <w:r>
        <w:rPr>
          <w:rStyle w:val="VerbatimChar"/>
        </w:rPr>
        <w:t xml:space="preserve">05-interoperability-and-execution-protocols.md</w:t>
      </w:r>
    </w:p>
    <w:p>
      <w:pPr>
        <w:pStyle w:val="Compact"/>
        <w:numPr>
          <w:ilvl w:val="0"/>
          <w:numId w:val="1052"/>
        </w:numPr>
      </w:pPr>
      <w:r>
        <w:rPr>
          <w:rStyle w:val="VerbatimChar"/>
        </w:rPr>
        <w:t xml:space="preserve">06-smart-contract-language-and-execution.docx</w:t>
      </w:r>
    </w:p>
    <w:p>
      <w:pPr>
        <w:pStyle w:val="Compact"/>
        <w:numPr>
          <w:ilvl w:val="0"/>
          <w:numId w:val="1052"/>
        </w:numPr>
      </w:pPr>
      <w:r>
        <w:rPr>
          <w:rStyle w:val="VerbatimChar"/>
        </w:rPr>
        <w:t xml:space="preserve">06-smart-contract-language-and-execution.md</w:t>
      </w:r>
    </w:p>
    <w:p>
      <w:pPr>
        <w:pStyle w:val="Compact"/>
        <w:numPr>
          <w:ilvl w:val="0"/>
          <w:numId w:val="1052"/>
        </w:numPr>
      </w:pPr>
      <w:r>
        <w:rPr>
          <w:rStyle w:val="VerbatimChar"/>
        </w:rPr>
        <w:t xml:space="preserve">07-synergy-wallet-architecture.docx</w:t>
      </w:r>
    </w:p>
    <w:p>
      <w:pPr>
        <w:pStyle w:val="Compact"/>
        <w:numPr>
          <w:ilvl w:val="0"/>
          <w:numId w:val="1052"/>
        </w:numPr>
      </w:pPr>
      <w:r>
        <w:rPr>
          <w:rStyle w:val="VerbatimChar"/>
        </w:rPr>
        <w:t xml:space="preserve">07-synergy-wallet-architecture.md</w:t>
      </w:r>
    </w:p>
    <w:p>
      <w:pPr>
        <w:pStyle w:val="Compact"/>
        <w:numPr>
          <w:ilvl w:val="0"/>
          <w:numId w:val="1052"/>
        </w:numPr>
      </w:pPr>
      <w:r>
        <w:rPr>
          <w:rStyle w:val="VerbatimChar"/>
        </w:rPr>
        <w:t xml:space="preserve">08-governance-economics-and-operations.docx</w:t>
      </w:r>
    </w:p>
    <w:p>
      <w:pPr>
        <w:pStyle w:val="Compact"/>
        <w:numPr>
          <w:ilvl w:val="0"/>
          <w:numId w:val="1052"/>
        </w:numPr>
      </w:pPr>
      <w:r>
        <w:rPr>
          <w:rStyle w:val="VerbatimChar"/>
        </w:rPr>
        <w:t xml:space="preserve">08-governance-economics-and-operations.md</w:t>
      </w:r>
    </w:p>
    <w:p>
      <w:pPr>
        <w:pStyle w:val="Compact"/>
        <w:numPr>
          <w:ilvl w:val="0"/>
          <w:numId w:val="1052"/>
        </w:numPr>
      </w:pPr>
      <w:r>
        <w:rPr>
          <w:rStyle w:val="VerbatimChar"/>
        </w:rPr>
        <w:t xml:space="preserve">09-threat-model-security-patent-relevant-effects.docx</w:t>
      </w:r>
    </w:p>
    <w:p>
      <w:pPr>
        <w:pStyle w:val="Compact"/>
        <w:numPr>
          <w:ilvl w:val="0"/>
          <w:numId w:val="1052"/>
        </w:numPr>
      </w:pPr>
      <w:r>
        <w:rPr>
          <w:rStyle w:val="VerbatimChar"/>
        </w:rPr>
        <w:t xml:space="preserve">09-threat-model-security-patent-relevant-effects.md</w:t>
      </w:r>
    </w:p>
    <w:p>
      <w:pPr>
        <w:pStyle w:val="Compact"/>
        <w:numPr>
          <w:ilvl w:val="0"/>
          <w:numId w:val="1052"/>
        </w:numPr>
      </w:pPr>
      <w:r>
        <w:rPr>
          <w:rStyle w:val="VerbatimChar"/>
        </w:rPr>
        <w:t xml:space="preserve">10-roadmap-and-strategic-outlook.docx</w:t>
      </w:r>
    </w:p>
    <w:p>
      <w:pPr>
        <w:pStyle w:val="Compact"/>
        <w:numPr>
          <w:ilvl w:val="0"/>
          <w:numId w:val="1052"/>
        </w:numPr>
      </w:pPr>
      <w:r>
        <w:rPr>
          <w:rStyle w:val="VerbatimChar"/>
        </w:rPr>
        <w:t xml:space="preserve">10-roadmap-and-strategic-outlook.md</w:t>
      </w:r>
    </w:p>
    <w:p>
      <w:pPr>
        <w:pStyle w:val="Compact"/>
        <w:numPr>
          <w:ilvl w:val="0"/>
          <w:numId w:val="1052"/>
        </w:numPr>
      </w:pPr>
      <w:r>
        <w:rPr>
          <w:rStyle w:val="VerbatimChar"/>
        </w:rPr>
        <w:t xml:space="preserve">11-appendices.docx</w:t>
      </w:r>
    </w:p>
    <w:p>
      <w:pPr>
        <w:pStyle w:val="Compact"/>
        <w:numPr>
          <w:ilvl w:val="0"/>
          <w:numId w:val="1052"/>
        </w:numPr>
      </w:pPr>
      <w:r>
        <w:rPr>
          <w:rStyle w:val="VerbatimChar"/>
        </w:rPr>
        <w:t xml:space="preserve">11-appendices.md</w:t>
      </w:r>
    </w:p>
    <w:p>
      <w:pPr>
        <w:pStyle w:val="Compact"/>
        <w:numPr>
          <w:ilvl w:val="0"/>
          <w:numId w:val="1052"/>
        </w:numPr>
      </w:pPr>
      <w:r>
        <w:rPr>
          <w:rStyle w:val="VerbatimChar"/>
        </w:rPr>
        <w:t xml:space="preserve">Aegis_updated.docx</w:t>
      </w:r>
    </w:p>
    <w:p>
      <w:pPr>
        <w:pStyle w:val="Compact"/>
        <w:numPr>
          <w:ilvl w:val="0"/>
          <w:numId w:val="1052"/>
        </w:numPr>
      </w:pPr>
      <w:r>
        <w:rPr>
          <w:rStyle w:val="VerbatimChar"/>
        </w:rPr>
        <w:t xml:space="preserve">Master Network, Ports, and Nginx Configuration Manual.docx</w:t>
      </w:r>
    </w:p>
    <w:p>
      <w:pPr>
        <w:pStyle w:val="Compact"/>
        <w:numPr>
          <w:ilvl w:val="0"/>
          <w:numId w:val="1052"/>
        </w:numPr>
      </w:pPr>
      <w:r>
        <w:rPr>
          <w:rStyle w:val="VerbatimChar"/>
        </w:rPr>
        <w:t xml:space="preserve">Master Network, Ports, and Nginx Configuration Manual.pdf</w:t>
      </w:r>
    </w:p>
    <w:p>
      <w:pPr>
        <w:pStyle w:val="Compact"/>
        <w:numPr>
          <w:ilvl w:val="0"/>
          <w:numId w:val="1052"/>
        </w:numPr>
      </w:pPr>
      <w:r>
        <w:rPr>
          <w:rStyle w:val="VerbatimChar"/>
        </w:rPr>
        <w:t xml:space="preserve">network_configs.md</w:t>
      </w:r>
    </w:p>
    <w:p>
      <w:pPr>
        <w:pStyle w:val="Compact"/>
        <w:numPr>
          <w:ilvl w:val="0"/>
          <w:numId w:val="1052"/>
        </w:numPr>
      </w:pPr>
      <w:r>
        <w:rPr>
          <w:rStyle w:val="VerbatimChar"/>
        </w:rPr>
        <w:t xml:space="preserve">PoSy_updated.docx</w:t>
      </w:r>
    </w:p>
    <w:p>
      <w:pPr>
        <w:pStyle w:val="Compact"/>
        <w:numPr>
          <w:ilvl w:val="0"/>
          <w:numId w:val="1052"/>
        </w:numPr>
      </w:pPr>
      <w:r>
        <w:rPr>
          <w:rStyle w:val="VerbatimChar"/>
        </w:rPr>
        <w:t xml:space="preserve">pqc-name-formatting.docx</w:t>
      </w:r>
    </w:p>
    <w:p>
      <w:pPr>
        <w:pStyle w:val="Compact"/>
        <w:numPr>
          <w:ilvl w:val="0"/>
          <w:numId w:val="1052"/>
        </w:numPr>
      </w:pPr>
      <w:r>
        <w:rPr>
          <w:rStyle w:val="VerbatimChar"/>
        </w:rPr>
        <w:t xml:space="preserve">research.pdf</w:t>
      </w:r>
    </w:p>
    <w:p>
      <w:pPr>
        <w:pStyle w:val="Compact"/>
        <w:numPr>
          <w:ilvl w:val="0"/>
          <w:numId w:val="1052"/>
        </w:numPr>
      </w:pPr>
      <w:r>
        <w:rPr>
          <w:rStyle w:val="VerbatimChar"/>
        </w:rPr>
        <w:t xml:space="preserve">rpc-methods.md</w:t>
      </w:r>
    </w:p>
    <w:p>
      <w:pPr>
        <w:pStyle w:val="Compact"/>
        <w:numPr>
          <w:ilvl w:val="0"/>
          <w:numId w:val="1052"/>
        </w:numPr>
      </w:pPr>
      <w:r>
        <w:rPr>
          <w:rStyle w:val="VerbatimChar"/>
        </w:rPr>
        <w:t xml:space="preserve">SNRG_Denomination_Precision_Spec.md</w:t>
      </w:r>
    </w:p>
    <w:p>
      <w:pPr>
        <w:pStyle w:val="Compact"/>
        <w:numPr>
          <w:ilvl w:val="0"/>
          <w:numId w:val="1052"/>
        </w:numPr>
      </w:pPr>
      <w:r>
        <w:rPr>
          <w:rStyle w:val="VerbatimChar"/>
        </w:rPr>
        <w:t xml:space="preserve">SXCP_PPA_Specification_Aligned_FULL_v2_updated.docx</w:t>
      </w:r>
    </w:p>
    <w:p>
      <w:pPr>
        <w:pStyle w:val="Compact"/>
        <w:numPr>
          <w:ilvl w:val="0"/>
          <w:numId w:val="1052"/>
        </w:numPr>
      </w:pPr>
      <w:r>
        <w:rPr>
          <w:rStyle w:val="VerbatimChar"/>
        </w:rPr>
        <w:t xml:space="preserve">Synergy Network Address Formatting Standard.pdf</w:t>
      </w:r>
    </w:p>
    <w:p>
      <w:pPr>
        <w:pStyle w:val="Compact"/>
        <w:numPr>
          <w:ilvl w:val="0"/>
          <w:numId w:val="1052"/>
        </w:numPr>
      </w:pPr>
      <w:r>
        <w:rPr>
          <w:rStyle w:val="VerbatimChar"/>
        </w:rPr>
        <w:t xml:space="preserve">synergy-network-full-whitepaper.pdf</w:t>
      </w:r>
    </w:p>
    <w:p>
      <w:pPr>
        <w:pStyle w:val="Compact"/>
        <w:numPr>
          <w:ilvl w:val="0"/>
          <w:numId w:val="1052"/>
        </w:numPr>
      </w:pPr>
      <w:r>
        <w:rPr>
          <w:rStyle w:val="VerbatimChar"/>
        </w:rPr>
        <w:t xml:space="preserve">Synergy_Network_Network_Configuration_Specification.docx</w:t>
      </w:r>
    </w:p>
    <w:p>
      <w:pPr>
        <w:pStyle w:val="Compact"/>
        <w:numPr>
          <w:ilvl w:val="0"/>
          <w:numId w:val="1052"/>
        </w:numPr>
      </w:pPr>
      <w:r>
        <w:rPr>
          <w:rStyle w:val="VerbatimChar"/>
        </w:rPr>
        <w:t xml:space="preserve">Synergy_Network_Node_Technical_Specification.docx</w:t>
      </w:r>
    </w:p>
    <w:p>
      <w:pPr>
        <w:pStyle w:val="Compact"/>
        <w:numPr>
          <w:ilvl w:val="0"/>
          <w:numId w:val="1052"/>
        </w:numPr>
      </w:pPr>
      <w:r>
        <w:rPr>
          <w:rStyle w:val="VerbatimChar"/>
        </w:rPr>
        <w:t xml:space="preserve">Synergy_Protocol_Naming_Encoding_Standards.docx</w:t>
      </w:r>
    </w:p>
    <w:p>
      <w:pPr>
        <w:pStyle w:val="Compact"/>
        <w:numPr>
          <w:ilvl w:val="0"/>
          <w:numId w:val="1052"/>
        </w:numPr>
      </w:pPr>
      <w:r>
        <w:rPr>
          <w:rStyle w:val="VerbatimChar"/>
        </w:rPr>
        <w:t xml:space="preserve">Synergy_Protocol_Naming_Encoding_Standards.pdf</w:t>
      </w:r>
    </w:p>
    <w:p>
      <w:pPr>
        <w:pStyle w:val="Compact"/>
        <w:numPr>
          <w:ilvl w:val="0"/>
          <w:numId w:val="1052"/>
        </w:numPr>
      </w:pPr>
      <w:r>
        <w:rPr>
          <w:rStyle w:val="VerbatimChar"/>
        </w:rPr>
        <w:t xml:space="preserve">Synergy_Wallet_Specification_v3.pdf</w:t>
      </w:r>
    </w:p>
    <w:p>
      <w:pPr>
        <w:pStyle w:val="Compact"/>
        <w:numPr>
          <w:ilvl w:val="0"/>
          <w:numId w:val="1052"/>
        </w:numPr>
      </w:pPr>
      <w:r>
        <w:rPr>
          <w:rStyle w:val="VerbatimChar"/>
        </w:rPr>
        <w:t xml:space="preserve">whitepaper-alignment-gap-report.md</w:t>
      </w:r>
    </w:p>
    <w:bookmarkEnd w:id="88"/>
    <w:bookmarkStart w:id="89" w:name="Xdc05ae878dbc1f8b06b6eb4a1bbe06dc41f002a"/>
    <w:p>
      <w:pPr>
        <w:pStyle w:val="Heading1"/>
      </w:pPr>
      <w:r>
        <w:t xml:space="preserve">Appendix C. Proposed additive</w:t>
      </w:r>
      <w:r>
        <w:t xml:space="preserve"> </w:t>
      </w:r>
      <w:r>
        <w:rPr>
          <w:rStyle w:val="VerbatimChar"/>
        </w:rPr>
        <w:t xml:space="preserve">[dag]</w:t>
      </w:r>
      <w:r>
        <w:t xml:space="preserve"> </w:t>
      </w:r>
      <w:r>
        <w:t xml:space="preserve">config namespace</w:t>
      </w:r>
    </w:p>
    <w:p>
      <w:pPr>
        <w:pStyle w:val="SourceCode"/>
      </w:pPr>
      <w:r>
        <w:rPr>
          <w:rStyle w:val="KeywordTok"/>
        </w:rPr>
        <w:t xml:space="preserve">[dag]</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mode</w:t>
      </w:r>
      <w:r>
        <w:rPr>
          <w:rStyle w:val="NormalTok"/>
        </w:rPr>
        <w:t xml:space="preserve"> </w:t>
      </w:r>
      <w:r>
        <w:rPr>
          <w:rStyle w:val="OperatorTok"/>
        </w:rPr>
        <w:t xml:space="preserve">=</w:t>
      </w:r>
      <w:r>
        <w:rPr>
          <w:rStyle w:val="NormalTok"/>
        </w:rPr>
        <w:t xml:space="preserve"> </w:t>
      </w:r>
      <w:r>
        <w:rPr>
          <w:rStyle w:val="StringTok"/>
        </w:rPr>
        <w:t xml:space="preserve">"certified_mempool"</w:t>
      </w:r>
      <w:r>
        <w:br/>
      </w:r>
      <w:r>
        <w:rPr>
          <w:rStyle w:val="DataTypeTok"/>
        </w:rPr>
        <w:t xml:space="preserve">cluster_scope_only</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require_encrypted_batches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availability_threshold</w:t>
      </w:r>
      <w:r>
        <w:rPr>
          <w:rStyle w:val="NormalTok"/>
        </w:rPr>
        <w:t xml:space="preserve"> </w:t>
      </w:r>
      <w:r>
        <w:rPr>
          <w:rStyle w:val="OperatorTok"/>
        </w:rPr>
        <w:t xml:space="preserve">=</w:t>
      </w:r>
      <w:r>
        <w:rPr>
          <w:rStyle w:val="NormalTok"/>
        </w:rPr>
        <w:t xml:space="preserve"> </w:t>
      </w:r>
      <w:r>
        <w:rPr>
          <w:rStyle w:val="StringTok"/>
        </w:rPr>
        <w:t xml:space="preserve">"2f_plus_1"</w:t>
      </w:r>
      <w:r>
        <w:br/>
      </w:r>
      <w:r>
        <w:rPr>
          <w:rStyle w:val="DataTypeTok"/>
        </w:rPr>
        <w:t xml:space="preserve">allow_uncertified_ordering</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max_vertices_per_round_per_validator</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min_parent_diversity</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DataTypeTok"/>
        </w:rPr>
        <w:t xml:space="preserve">vertex_expiry_rounds</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DataTypeTok"/>
        </w:rPr>
        <w:t xml:space="preserve">batch_max_bytes</w:t>
      </w:r>
      <w:r>
        <w:rPr>
          <w:rStyle w:val="NormalTok"/>
        </w:rPr>
        <w:t xml:space="preserve"> </w:t>
      </w:r>
      <w:r>
        <w:rPr>
          <w:rStyle w:val="OperatorTok"/>
        </w:rPr>
        <w:t xml:space="preserve">=</w:t>
      </w:r>
      <w:r>
        <w:rPr>
          <w:rStyle w:val="NormalTok"/>
        </w:rPr>
        <w:t xml:space="preserve"> </w:t>
      </w:r>
      <w:r>
        <w:rPr>
          <w:rStyle w:val="DecValTok"/>
        </w:rPr>
        <w:t xml:space="preserve">262144</w:t>
      </w:r>
      <w:r>
        <w:br/>
      </w:r>
      <w:r>
        <w:rPr>
          <w:rStyle w:val="DataTypeTok"/>
        </w:rPr>
        <w:t xml:space="preserve">batch_max_age_ms</w:t>
      </w:r>
      <w:r>
        <w:rPr>
          <w:rStyle w:val="NormalTok"/>
        </w:rPr>
        <w:t xml:space="preserve"> </w:t>
      </w:r>
      <w:r>
        <w:rPr>
          <w:rStyle w:val="OperatorTok"/>
        </w:rPr>
        <w:t xml:space="preserve">=</w:t>
      </w:r>
      <w:r>
        <w:rPr>
          <w:rStyle w:val="NormalTok"/>
        </w:rPr>
        <w:t xml:space="preserve"> </w:t>
      </w:r>
      <w:r>
        <w:rPr>
          <w:rStyle w:val="DecValTok"/>
        </w:rPr>
        <w:t xml:space="preserve">1500</w:t>
      </w:r>
      <w:r>
        <w:br/>
      </w:r>
      <w:r>
        <w:rPr>
          <w:rStyle w:val="DataTypeTok"/>
        </w:rPr>
        <w:t xml:space="preserve">max_frontier_vertices</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DataTypeTok"/>
        </w:rPr>
        <w:t xml:space="preserve">gc_finality_depth</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DataTypeTok"/>
        </w:rPr>
        <w:t xml:space="preserve">emit_dag_evidence</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quarantine_on_integrity_failure</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advertise_capabilities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"dag-cert-v1"</w:t>
      </w:r>
      <w:r>
        <w:rPr>
          <w:rStyle w:val="OperatorTok"/>
        </w:rPr>
        <w:t xml:space="preserve">,</w:t>
      </w:r>
      <w:r>
        <w:rPr>
          <w:rStyle w:val="NormalTok"/>
        </w:rPr>
        <w:t xml:space="preserve"> </w:t>
      </w:r>
      <w:r>
        <w:rPr>
          <w:rStyle w:val="StringTok"/>
        </w:rPr>
        <w:t xml:space="preserve">"dag-archive-v1"</w:t>
      </w:r>
      <w:r>
        <w:rPr>
          <w:rStyle w:val="OperatorTok"/>
        </w:rPr>
        <w:t xml:space="preserve">]</w:t>
      </w:r>
    </w:p>
    <w:bookmarkEnd w:id="89"/>
    <w:bookmarkStart w:id="90" w:name="appendix-d.-proposed-dag-rpc-additions"/>
    <w:p>
      <w:pPr>
        <w:pStyle w:val="Heading1"/>
      </w:pPr>
      <w:r>
        <w:t xml:space="preserve">Appendix D. Proposed DAG RPC additions</w:t>
      </w:r>
    </w:p>
    <w:p>
      <w:pPr>
        <w:pStyle w:val="Compact"/>
        <w:numPr>
          <w:ilvl w:val="0"/>
          <w:numId w:val="1053"/>
        </w:numPr>
      </w:pPr>
      <w:r>
        <w:rPr>
          <w:rStyle w:val="VerbatimChar"/>
        </w:rPr>
        <w:t xml:space="preserve">synergy_getDagStatus</w:t>
      </w:r>
    </w:p>
    <w:p>
      <w:pPr>
        <w:pStyle w:val="Compact"/>
        <w:numPr>
          <w:ilvl w:val="0"/>
          <w:numId w:val="1053"/>
        </w:numPr>
      </w:pPr>
      <w:r>
        <w:rPr>
          <w:rStyle w:val="VerbatimChar"/>
        </w:rPr>
        <w:t xml:space="preserve">synergy_getClusterDagHead</w:t>
      </w:r>
    </w:p>
    <w:p>
      <w:pPr>
        <w:pStyle w:val="Compact"/>
        <w:numPr>
          <w:ilvl w:val="0"/>
          <w:numId w:val="1053"/>
        </w:numPr>
      </w:pPr>
      <w:r>
        <w:rPr>
          <w:rStyle w:val="VerbatimChar"/>
        </w:rPr>
        <w:t xml:space="preserve">synergy_getDagVertex</w:t>
      </w:r>
    </w:p>
    <w:p>
      <w:pPr>
        <w:pStyle w:val="Compact"/>
        <w:numPr>
          <w:ilvl w:val="0"/>
          <w:numId w:val="1053"/>
        </w:numPr>
      </w:pPr>
      <w:r>
        <w:rPr>
          <w:rStyle w:val="VerbatimChar"/>
        </w:rPr>
        <w:t xml:space="preserve">synergy_getDagCertificate</w:t>
      </w:r>
    </w:p>
    <w:p>
      <w:pPr>
        <w:pStyle w:val="Compact"/>
        <w:numPr>
          <w:ilvl w:val="0"/>
          <w:numId w:val="1053"/>
        </w:numPr>
      </w:pPr>
      <w:r>
        <w:rPr>
          <w:rStyle w:val="VerbatimChar"/>
        </w:rPr>
        <w:t xml:space="preserve">synergy_getDagConflicts</w:t>
      </w:r>
    </w:p>
    <w:p>
      <w:pPr>
        <w:pStyle w:val="Compact"/>
        <w:numPr>
          <w:ilvl w:val="0"/>
          <w:numId w:val="1053"/>
        </w:numPr>
      </w:pPr>
      <w:r>
        <w:rPr>
          <w:rStyle w:val="VerbatimChar"/>
        </w:rPr>
        <w:t xml:space="preserve">synergy_getClusterDagHealth</w:t>
      </w:r>
    </w:p>
    <w:p>
      <w:pPr>
        <w:pStyle w:val="Compact"/>
        <w:numPr>
          <w:ilvl w:val="0"/>
          <w:numId w:val="1053"/>
        </w:numPr>
      </w:pPr>
      <w:r>
        <w:rPr>
          <w:rStyle w:val="VerbatimChar"/>
        </w:rPr>
        <w:t xml:space="preserve">synergy_getOrderingCut</w:t>
      </w:r>
    </w:p>
    <w:p>
      <w:pPr>
        <w:pStyle w:val="Compact"/>
        <w:numPr>
          <w:ilvl w:val="0"/>
          <w:numId w:val="1053"/>
        </w:numPr>
      </w:pPr>
      <w:r>
        <w:rPr>
          <w:rStyle w:val="VerbatimChar"/>
        </w:rPr>
        <w:t xml:space="preserve">synergy_getDagEvidence</w:t>
      </w:r>
    </w:p>
    <w:p>
      <w:pPr>
        <w:pStyle w:val="Compact"/>
        <w:numPr>
          <w:ilvl w:val="0"/>
          <w:numId w:val="1053"/>
        </w:numPr>
      </w:pPr>
      <w:r>
        <w:rPr>
          <w:rStyle w:val="VerbatimChar"/>
        </w:rPr>
        <w:t xml:space="preserve">synergy_getDagRetentionStatus</w:t>
      </w:r>
    </w:p>
    <w:p>
      <w:pPr>
        <w:pStyle w:val="Compact"/>
        <w:numPr>
          <w:ilvl w:val="0"/>
          <w:numId w:val="1053"/>
        </w:numPr>
      </w:pPr>
      <w:r>
        <w:rPr>
          <w:rStyle w:val="VerbatimChar"/>
        </w:rPr>
        <w:t xml:space="preserve">synergy_getValidatorDagActivity</w:t>
      </w:r>
    </w:p>
    <w:bookmarkEnd w:id="90"/>
    <w:bookmarkStart w:id="96" w:name="Xd753c358802a9be86de0bcdfd39c58ca9fab3f7"/>
    <w:p>
      <w:pPr>
        <w:pStyle w:val="Heading1"/>
      </w:pPr>
      <w:r>
        <w:t xml:space="preserve">Appendix E. Mermaid-source snippets for reuse in docs and ADRs</w:t>
      </w:r>
    </w:p>
    <w:bookmarkStart w:id="91" w:name="X686e60de91fcd0c3b9729edd68d531db1c9056c"/>
    <w:p>
      <w:pPr>
        <w:pStyle w:val="Heading2"/>
      </w:pPr>
      <w:r>
        <w:t xml:space="preserve">E1. Current path versus target hybrid path</w:t>
      </w:r>
    </w:p>
    <w:p>
      <w:pPr>
        <w:pStyle w:val="SourceCode"/>
      </w:pPr>
      <w:r>
        <w:rPr>
          <w:rStyle w:val="VerbatimChar"/>
        </w:rPr>
        <w:t xml:space="preserve">flowchart LR</w:t>
      </w:r>
      <w:r>
        <w:br/>
      </w:r>
      <w:r>
        <w:rPr>
          <w:rStyle w:val="VerbatimChar"/>
        </w:rPr>
        <w:t xml:space="preserve">    subgraph Current[Current testnet-beta PoSy path]</w:t>
      </w:r>
      <w:r>
        <w:br/>
      </w:r>
      <w:r>
        <w:rPr>
          <w:rStyle w:val="VerbatimChar"/>
        </w:rPr>
        <w:t xml:space="preserve">        A[TX_POOL] --&gt; B[Leader selection]</w:t>
      </w:r>
      <w:r>
        <w:br/>
      </w:r>
      <w:r>
        <w:rPr>
          <w:rStyle w:val="VerbatimChar"/>
        </w:rPr>
        <w:t xml:space="preserve">        B --&gt; C[Block proposal from flat pool]</w:t>
      </w:r>
      <w:r>
        <w:br/>
      </w:r>
      <w:r>
        <w:rPr>
          <w:rStyle w:val="VerbatimChar"/>
        </w:rPr>
        <w:t xml:space="preserve">        C --&gt; D[Dual-quorum QC]</w:t>
      </w:r>
      <w:r>
        <w:br/>
      </w:r>
      <w:r>
        <w:rPr>
          <w:rStyle w:val="VerbatimChar"/>
        </w:rPr>
        <w:t xml:space="preserve">        D --&gt; E[Linear finalized chain]</w:t>
      </w:r>
      <w:r>
        <w:br/>
      </w:r>
      <w:r>
        <w:rPr>
          <w:rStyle w:val="VerbatimChar"/>
        </w:rPr>
        <w:t xml:space="preserve">    end</w:t>
      </w:r>
      <w:r>
        <w:br/>
      </w:r>
      <w:r>
        <w:br/>
      </w:r>
      <w:r>
        <w:rPr>
          <w:rStyle w:val="VerbatimChar"/>
        </w:rPr>
        <w:t xml:space="preserve">    subgraph Target[Target hybrid validator-cluster DAG]</w:t>
      </w:r>
      <w:r>
        <w:br/>
      </w:r>
      <w:r>
        <w:rPr>
          <w:rStyle w:val="VerbatimChar"/>
        </w:rPr>
        <w:t xml:space="preserve">        T1[Tx ingress] --&gt; T2[Encrypted batch]</w:t>
      </w:r>
      <w:r>
        <w:br/>
      </w:r>
      <w:r>
        <w:rPr>
          <w:rStyle w:val="VerbatimChar"/>
        </w:rPr>
        <w:t xml:space="preserve">        T2 --&gt; T3[DagVertex]</w:t>
      </w:r>
      <w:r>
        <w:br/>
      </w:r>
      <w:r>
        <w:rPr>
          <w:rStyle w:val="VerbatimChar"/>
        </w:rPr>
        <w:t xml:space="preserve">        T3 --&gt; T4[Availability receipts]</w:t>
      </w:r>
      <w:r>
        <w:br/>
      </w:r>
      <w:r>
        <w:rPr>
          <w:rStyle w:val="VerbatimChar"/>
        </w:rPr>
        <w:t xml:space="preserve">        T4 --&gt; T5[DagCertificate]</w:t>
      </w:r>
      <w:r>
        <w:br/>
      </w:r>
      <w:r>
        <w:rPr>
          <w:rStyle w:val="VerbatimChar"/>
        </w:rPr>
        <w:t xml:space="preserve">        T5 --&gt; T6[OrderingCut]</w:t>
      </w:r>
      <w:r>
        <w:br/>
      </w:r>
      <w:r>
        <w:rPr>
          <w:rStyle w:val="VerbatimChar"/>
        </w:rPr>
        <w:t xml:space="preserve">        T6 --&gt; T7[Block proposal]</w:t>
      </w:r>
      <w:r>
        <w:br/>
      </w:r>
      <w:r>
        <w:rPr>
          <w:rStyle w:val="VerbatimChar"/>
        </w:rPr>
        <w:t xml:space="preserve">        T7 --&gt; T8[PoSy QC]</w:t>
      </w:r>
      <w:r>
        <w:br/>
      </w:r>
      <w:r>
        <w:rPr>
          <w:rStyle w:val="VerbatimChar"/>
        </w:rPr>
        <w:t xml:space="preserve">        T8 --&gt; T9[ClusterCheckpoint]</w:t>
      </w:r>
      <w:r>
        <w:br/>
      </w:r>
      <w:r>
        <w:rPr>
          <w:rStyle w:val="VerbatimChar"/>
        </w:rPr>
        <w:t xml:space="preserve">    end</w:t>
      </w:r>
    </w:p>
    <w:bookmarkEnd w:id="91"/>
    <w:bookmarkStart w:id="92" w:name="e2.-code-touchpoint-map"/>
    <w:p>
      <w:pPr>
        <w:pStyle w:val="Heading2"/>
      </w:pPr>
      <w:r>
        <w:t xml:space="preserve">E2. Code touchpoint map</w:t>
      </w:r>
    </w:p>
    <w:p>
      <w:pPr>
        <w:pStyle w:val="SourceCode"/>
      </w:pPr>
      <w:r>
        <w:rPr>
          <w:rStyle w:val="VerbatimChar"/>
        </w:rPr>
        <w:t xml:space="preserve">flowchart TB</w:t>
      </w:r>
      <w:r>
        <w:br/>
      </w:r>
      <w:r>
        <w:rPr>
          <w:rStyle w:val="VerbatimChar"/>
        </w:rPr>
        <w:t xml:space="preserve">    D[ClusterDagEngine]</w:t>
      </w:r>
      <w:r>
        <w:br/>
      </w:r>
      <w:r>
        <w:rPr>
          <w:rStyle w:val="VerbatimChar"/>
        </w:rPr>
        <w:t xml:space="preserve">    D --&gt; C1[consensus_algorithm.rs]</w:t>
      </w:r>
      <w:r>
        <w:br/>
      </w:r>
      <w:r>
        <w:rPr>
          <w:rStyle w:val="VerbatimChar"/>
        </w:rPr>
        <w:t xml:space="preserve">    D --&gt; C2[dual_quorum.rs]</w:t>
      </w:r>
      <w:r>
        <w:br/>
      </w:r>
      <w:r>
        <w:rPr>
          <w:rStyle w:val="VerbatimChar"/>
        </w:rPr>
        <w:t xml:space="preserve">    D --&gt; N1[p2p messages + networking]</w:t>
      </w:r>
      <w:r>
        <w:br/>
      </w:r>
      <w:r>
        <w:rPr>
          <w:rStyle w:val="VerbatimChar"/>
        </w:rPr>
        <w:t xml:space="preserve">    D --&gt; N2[sync + rpc]</w:t>
      </w:r>
      <w:r>
        <w:br/>
      </w:r>
      <w:r>
        <w:rPr>
          <w:rStyle w:val="VerbatimChar"/>
        </w:rPr>
        <w:t xml:space="preserve">    D --&gt; S1[block + transaction]</w:t>
      </w:r>
      <w:r>
        <w:br/>
      </w:r>
      <w:r>
        <w:rPr>
          <w:rStyle w:val="VerbatimChar"/>
        </w:rPr>
        <w:t xml:space="preserve">    D --&gt; S2[validator + token]</w:t>
      </w:r>
      <w:r>
        <w:br/>
      </w:r>
      <w:r>
        <w:rPr>
          <w:rStyle w:val="VerbatimChar"/>
        </w:rPr>
        <w:t xml:space="preserve">    D --&gt; O1[config]</w:t>
      </w:r>
      <w:r>
        <w:br/>
      </w:r>
      <w:r>
        <w:rPr>
          <w:rStyle w:val="VerbatimChar"/>
        </w:rPr>
        <w:t xml:space="preserve">    D --&gt; O2[role profiles + runtime]</w:t>
      </w:r>
    </w:p>
    <w:bookmarkEnd w:id="92"/>
    <w:bookmarkStart w:id="93" w:name="e3.-dag-artifact-lifecycle"/>
    <w:p>
      <w:pPr>
        <w:pStyle w:val="Heading2"/>
      </w:pPr>
      <w:r>
        <w:t xml:space="preserve">E3. DAG artifact lifecycle</w:t>
      </w:r>
    </w:p>
    <w:p>
      <w:pPr>
        <w:pStyle w:val="SourceCode"/>
      </w:pPr>
      <w:r>
        <w:rPr>
          <w:rStyle w:val="VerbatimChar"/>
        </w:rPr>
        <w:t xml:space="preserve">flowchart LR</w:t>
      </w:r>
      <w:r>
        <w:br/>
      </w:r>
      <w:r>
        <w:rPr>
          <w:rStyle w:val="VerbatimChar"/>
        </w:rPr>
        <w:t xml:space="preserve">    A[Transactions] --&gt; B[DagBatch]</w:t>
      </w:r>
      <w:r>
        <w:br/>
      </w:r>
      <w:r>
        <w:rPr>
          <w:rStyle w:val="VerbatimChar"/>
        </w:rPr>
        <w:t xml:space="preserve">    B --&gt; C[Batch commitment]</w:t>
      </w:r>
      <w:r>
        <w:br/>
      </w:r>
      <w:r>
        <w:rPr>
          <w:rStyle w:val="VerbatimChar"/>
        </w:rPr>
        <w:t xml:space="preserve">    C --&gt; D[DagVertex]</w:t>
      </w:r>
      <w:r>
        <w:br/>
      </w:r>
      <w:r>
        <w:rPr>
          <w:rStyle w:val="VerbatimChar"/>
        </w:rPr>
        <w:t xml:space="preserve">    D --&gt; E[AvailabilityReceipt x N]</w:t>
      </w:r>
      <w:r>
        <w:br/>
      </w:r>
      <w:r>
        <w:rPr>
          <w:rStyle w:val="VerbatimChar"/>
        </w:rPr>
        <w:t xml:space="preserve">    E --&gt; F[DagCertificate]</w:t>
      </w:r>
      <w:r>
        <w:br/>
      </w:r>
      <w:r>
        <w:rPr>
          <w:rStyle w:val="VerbatimChar"/>
        </w:rPr>
        <w:t xml:space="preserve">    F --&gt; G[OrderingCut]</w:t>
      </w:r>
      <w:r>
        <w:br/>
      </w:r>
      <w:r>
        <w:rPr>
          <w:rStyle w:val="VerbatimChar"/>
        </w:rPr>
        <w:t xml:space="preserve">    G --&gt; H[Block header commitments]</w:t>
      </w:r>
      <w:r>
        <w:br/>
      </w:r>
      <w:r>
        <w:rPr>
          <w:rStyle w:val="VerbatimChar"/>
        </w:rPr>
        <w:t xml:space="preserve">    H --&gt; I[PoSy QC]</w:t>
      </w:r>
      <w:r>
        <w:br/>
      </w:r>
      <w:r>
        <w:rPr>
          <w:rStyle w:val="VerbatimChar"/>
        </w:rPr>
        <w:t xml:space="preserve">    I --&gt; J[ClusterCheckpoint]</w:t>
      </w:r>
      <w:r>
        <w:br/>
      </w:r>
      <w:r>
        <w:rPr>
          <w:rStyle w:val="VerbatimChar"/>
        </w:rPr>
        <w:t xml:space="preserve">    F --&gt; K[Evidence bundle]</w:t>
      </w:r>
      <w:r>
        <w:br/>
      </w:r>
      <w:r>
        <w:rPr>
          <w:rStyle w:val="VerbatimChar"/>
        </w:rPr>
        <w:t xml:space="preserve">    G --&gt; K</w:t>
      </w:r>
      <w:r>
        <w:br/>
      </w:r>
      <w:r>
        <w:rPr>
          <w:rStyle w:val="VerbatimChar"/>
        </w:rPr>
        <w:t xml:space="preserve">    I --&gt; K</w:t>
      </w:r>
    </w:p>
    <w:bookmarkEnd w:id="93"/>
    <w:bookmarkStart w:id="94" w:name="e4.-beta-dag-topology"/>
    <w:p>
      <w:pPr>
        <w:pStyle w:val="Heading2"/>
      </w:pPr>
      <w:r>
        <w:t xml:space="preserve">E4. Beta DAG topology</w:t>
      </w:r>
    </w:p>
    <w:p>
      <w:pPr>
        <w:pStyle w:val="SourceCode"/>
      </w:pPr>
      <w:r>
        <w:rPr>
          <w:rStyle w:val="VerbatimChar"/>
        </w:rPr>
        <w:t xml:space="preserve">flowchart LR</w:t>
      </w:r>
      <w:r>
        <w:br/>
      </w:r>
      <w:r>
        <w:rPr>
          <w:rStyle w:val="VerbatimChar"/>
        </w:rPr>
        <w:t xml:space="preserve">    subgraph Cluster[Active validator cluster]</w:t>
      </w:r>
      <w:r>
        <w:br/>
      </w:r>
      <w:r>
        <w:rPr>
          <w:rStyle w:val="VerbatimChar"/>
        </w:rPr>
        <w:t xml:space="preserve">        V1[Validator 1]</w:t>
      </w:r>
      <w:r>
        <w:br/>
      </w:r>
      <w:r>
        <w:rPr>
          <w:rStyle w:val="VerbatimChar"/>
        </w:rPr>
        <w:t xml:space="preserve">        V2[Validator 2]</w:t>
      </w:r>
      <w:r>
        <w:br/>
      </w:r>
      <w:r>
        <w:rPr>
          <w:rStyle w:val="VerbatimChar"/>
        </w:rPr>
        <w:t xml:space="preserve">        V3[Validator 3]</w:t>
      </w:r>
      <w:r>
        <w:br/>
      </w:r>
      <w:r>
        <w:rPr>
          <w:rStyle w:val="VerbatimChar"/>
        </w:rPr>
        <w:t xml:space="preserve">        V4[Validator 4]</w:t>
      </w:r>
      <w:r>
        <w:br/>
      </w:r>
      <w:r>
        <w:rPr>
          <w:rStyle w:val="VerbatimChar"/>
        </w:rPr>
        <w:t xml:space="preserve">        V5[Validator 5]</w:t>
      </w:r>
      <w:r>
        <w:br/>
      </w:r>
      <w:r>
        <w:rPr>
          <w:rStyle w:val="VerbatimChar"/>
        </w:rPr>
        <w:t xml:space="preserve">        V6[Validator 6]</w:t>
      </w:r>
      <w:r>
        <w:br/>
      </w:r>
      <w:r>
        <w:rPr>
          <w:rStyle w:val="VerbatimChar"/>
        </w:rPr>
        <w:t xml:space="preserve">        V7[Validator 7]</w:t>
      </w:r>
      <w:r>
        <w:br/>
      </w:r>
      <w:r>
        <w:rPr>
          <w:rStyle w:val="VerbatimChar"/>
        </w:rPr>
        <w:t xml:space="preserve">    end</w:t>
      </w:r>
      <w:r>
        <w:br/>
      </w:r>
      <w:r>
        <w:br/>
      </w:r>
      <w:r>
        <w:rPr>
          <w:rStyle w:val="VerbatimChar"/>
        </w:rPr>
        <w:t xml:space="preserve">    Cluster --&gt; A[Archive Validator]</w:t>
      </w:r>
      <w:r>
        <w:br/>
      </w:r>
      <w:r>
        <w:rPr>
          <w:rStyle w:val="VerbatimChar"/>
        </w:rPr>
        <w:t xml:space="preserve">    Cluster --&gt; U[Audit Validator]</w:t>
      </w:r>
      <w:r>
        <w:br/>
      </w:r>
      <w:r>
        <w:rPr>
          <w:rStyle w:val="VerbatimChar"/>
        </w:rPr>
        <w:t xml:space="preserve">    Cluster --&gt; D[Data Availability Node]</w:t>
      </w:r>
      <w:r>
        <w:br/>
      </w:r>
      <w:r>
        <w:rPr>
          <w:rStyle w:val="VerbatimChar"/>
        </w:rPr>
        <w:t xml:space="preserve">    Cluster --&gt; R[RPC Gateway]</w:t>
      </w:r>
      <w:r>
        <w:br/>
      </w:r>
      <w:r>
        <w:rPr>
          <w:rStyle w:val="VerbatimChar"/>
        </w:rPr>
        <w:t xml:space="preserve">    Cluster --&gt; X[SXCP bridge relayer]</w:t>
      </w:r>
    </w:p>
    <w:bookmarkEnd w:id="94"/>
    <w:bookmarkStart w:id="95" w:name="e5.-security-enforcement-layers"/>
    <w:p>
      <w:pPr>
        <w:pStyle w:val="Heading2"/>
      </w:pPr>
      <w:r>
        <w:t xml:space="preserve">E5. Security enforcement layers</w:t>
      </w:r>
    </w:p>
    <w:p>
      <w:pPr>
        <w:pStyle w:val="SourceCode"/>
      </w:pPr>
      <w:r>
        <w:rPr>
          <w:rStyle w:val="VerbatimChar"/>
        </w:rPr>
        <w:t xml:space="preserve">flowchart LR</w:t>
      </w:r>
      <w:r>
        <w:br/>
      </w:r>
      <w:r>
        <w:rPr>
          <w:rStyle w:val="VerbatimChar"/>
        </w:rPr>
        <w:t xml:space="preserve">    T1[Spam / replay] --&gt; I[Ingress controls]</w:t>
      </w:r>
      <w:r>
        <w:br/>
      </w:r>
      <w:r>
        <w:rPr>
          <w:rStyle w:val="VerbatimChar"/>
        </w:rPr>
        <w:t xml:space="preserve">    T2[Data withholding] --&gt; A[Availability controls]</w:t>
      </w:r>
      <w:r>
        <w:br/>
      </w:r>
      <w:r>
        <w:rPr>
          <w:rStyle w:val="VerbatimChar"/>
        </w:rPr>
        <w:t xml:space="preserve">    T3[Equivocation] --&gt; A</w:t>
      </w:r>
      <w:r>
        <w:br/>
      </w:r>
      <w:r>
        <w:rPr>
          <w:rStyle w:val="VerbatimChar"/>
        </w:rPr>
        <w:t xml:space="preserve">    T4[Censorship / MEV] --&gt; O[Ordering controls]</w:t>
      </w:r>
      <w:r>
        <w:br/>
      </w:r>
      <w:r>
        <w:rPr>
          <w:rStyle w:val="VerbatimChar"/>
        </w:rPr>
        <w:t xml:space="preserve">    I --&gt; A --&gt; O --&gt; F[Finality controls] --&gt; P[Ops controls]</w:t>
      </w:r>
      <w:r>
        <w:br/>
      </w:r>
      <w:r>
        <w:rPr>
          <w:rStyle w:val="VerbatimChar"/>
        </w:rPr>
        <w:t xml:space="preserve">    T3 --&gt; P</w:t>
      </w:r>
    </w:p>
    <w:bookmarkEnd w:id="95"/>
    <w:bookmarkEnd w:id="96"/>
    <w:bookmarkStart w:id="97" w:name="Xcc704cdc765e6d0ecb64be300902de11217f8c4"/>
    <w:p>
      <w:pPr>
        <w:pStyle w:val="Heading1"/>
      </w:pPr>
      <w:r>
        <w:t xml:space="preserve">Appendix F. Primary source anchors used repeatedly in this merged report</w:t>
      </w:r>
    </w:p>
    <w:p>
      <w:pPr>
        <w:pStyle w:val="Compact"/>
        <w:numPr>
          <w:ilvl w:val="0"/>
          <w:numId w:val="1054"/>
        </w:numPr>
      </w:pPr>
      <w:r>
        <w:rPr>
          <w:rStyle w:val="VerbatimChar"/>
        </w:rPr>
        <w:t xml:space="preserve">src/consensus/consensus_algorithm.rs</w:t>
      </w:r>
    </w:p>
    <w:p>
      <w:pPr>
        <w:pStyle w:val="Compact"/>
        <w:numPr>
          <w:ilvl w:val="0"/>
          <w:numId w:val="1054"/>
        </w:numPr>
      </w:pPr>
      <w:r>
        <w:rPr>
          <w:rStyle w:val="VerbatimChar"/>
        </w:rPr>
        <w:t xml:space="preserve">src/consensus/dual_quorum.rs</w:t>
      </w:r>
    </w:p>
    <w:p>
      <w:pPr>
        <w:pStyle w:val="Compact"/>
        <w:numPr>
          <w:ilvl w:val="0"/>
          <w:numId w:val="1054"/>
        </w:numPr>
      </w:pPr>
      <w:r>
        <w:rPr>
          <w:rStyle w:val="VerbatimChar"/>
        </w:rPr>
        <w:t xml:space="preserve">src/consensus/cartel_detection.rs</w:t>
      </w:r>
    </w:p>
    <w:p>
      <w:pPr>
        <w:pStyle w:val="Compact"/>
        <w:numPr>
          <w:ilvl w:val="0"/>
          <w:numId w:val="1054"/>
        </w:numPr>
      </w:pPr>
      <w:r>
        <w:rPr>
          <w:rStyle w:val="VerbatimChar"/>
        </w:rPr>
        <w:t xml:space="preserve">src/consensus/synergy_score.rs</w:t>
      </w:r>
    </w:p>
    <w:p>
      <w:pPr>
        <w:pStyle w:val="Compact"/>
        <w:numPr>
          <w:ilvl w:val="0"/>
          <w:numId w:val="1054"/>
        </w:numPr>
      </w:pPr>
      <w:r>
        <w:rPr>
          <w:rStyle w:val="VerbatimChar"/>
        </w:rPr>
        <w:t xml:space="preserve">src/validator.rs</w:t>
      </w:r>
    </w:p>
    <w:p>
      <w:pPr>
        <w:pStyle w:val="Compact"/>
        <w:numPr>
          <w:ilvl w:val="0"/>
          <w:numId w:val="1054"/>
        </w:numPr>
      </w:pPr>
      <w:r>
        <w:rPr>
          <w:rStyle w:val="VerbatimChar"/>
        </w:rPr>
        <w:t xml:space="preserve">src/block.rs</w:t>
      </w:r>
    </w:p>
    <w:p>
      <w:pPr>
        <w:pStyle w:val="Compact"/>
        <w:numPr>
          <w:ilvl w:val="0"/>
          <w:numId w:val="1054"/>
        </w:numPr>
      </w:pPr>
      <w:r>
        <w:rPr>
          <w:rStyle w:val="VerbatimChar"/>
        </w:rPr>
        <w:t xml:space="preserve">src/transaction.rs</w:t>
      </w:r>
    </w:p>
    <w:p>
      <w:pPr>
        <w:pStyle w:val="Compact"/>
        <w:numPr>
          <w:ilvl w:val="0"/>
          <w:numId w:val="1054"/>
        </w:numPr>
      </w:pPr>
      <w:r>
        <w:rPr>
          <w:rStyle w:val="VerbatimChar"/>
        </w:rPr>
        <w:t xml:space="preserve">src/p2p/messages.rs</w:t>
      </w:r>
    </w:p>
    <w:p>
      <w:pPr>
        <w:pStyle w:val="Compact"/>
        <w:numPr>
          <w:ilvl w:val="0"/>
          <w:numId w:val="1054"/>
        </w:numPr>
      </w:pPr>
      <w:r>
        <w:rPr>
          <w:rStyle w:val="VerbatimChar"/>
        </w:rPr>
        <w:t xml:space="preserve">src/p2p/networking.rs</w:t>
      </w:r>
    </w:p>
    <w:p>
      <w:pPr>
        <w:pStyle w:val="Compact"/>
        <w:numPr>
          <w:ilvl w:val="0"/>
          <w:numId w:val="1054"/>
        </w:numPr>
      </w:pPr>
      <w:r>
        <w:rPr>
          <w:rStyle w:val="VerbatimChar"/>
        </w:rPr>
        <w:t xml:space="preserve">src/sync/manager.rs</w:t>
      </w:r>
    </w:p>
    <w:p>
      <w:pPr>
        <w:pStyle w:val="Compact"/>
        <w:numPr>
          <w:ilvl w:val="0"/>
          <w:numId w:val="1054"/>
        </w:numPr>
      </w:pPr>
      <w:r>
        <w:rPr>
          <w:rStyle w:val="VerbatimChar"/>
        </w:rPr>
        <w:t xml:space="preserve">src/rpc/rpc_server.rs</w:t>
      </w:r>
    </w:p>
    <w:p>
      <w:pPr>
        <w:pStyle w:val="Compact"/>
        <w:numPr>
          <w:ilvl w:val="0"/>
          <w:numId w:val="1054"/>
        </w:numPr>
      </w:pPr>
      <w:r>
        <w:rPr>
          <w:rStyle w:val="VerbatimChar"/>
        </w:rPr>
        <w:t xml:space="preserve">src/role_profiles.rs</w:t>
      </w:r>
    </w:p>
    <w:p>
      <w:pPr>
        <w:pStyle w:val="Compact"/>
        <w:numPr>
          <w:ilvl w:val="0"/>
          <w:numId w:val="1054"/>
        </w:numPr>
      </w:pPr>
      <w:r>
        <w:rPr>
          <w:rStyle w:val="VerbatimChar"/>
        </w:rPr>
        <w:t xml:space="preserve">src/role_runtime.rs</w:t>
      </w:r>
    </w:p>
    <w:p>
      <w:pPr>
        <w:pStyle w:val="Compact"/>
        <w:numPr>
          <w:ilvl w:val="0"/>
          <w:numId w:val="1054"/>
        </w:numPr>
      </w:pPr>
      <w:r>
        <w:rPr>
          <w:rStyle w:val="VerbatimChar"/>
        </w:rPr>
        <w:t xml:space="preserve">src/token.rs</w:t>
      </w:r>
    </w:p>
    <w:p>
      <w:pPr>
        <w:pStyle w:val="Compact"/>
        <w:numPr>
          <w:ilvl w:val="0"/>
          <w:numId w:val="1054"/>
        </w:numPr>
      </w:pPr>
      <w:r>
        <w:rPr>
          <w:rStyle w:val="VerbatimChar"/>
        </w:rPr>
        <w:t xml:space="preserve">PoSy_updated.docx</w:t>
      </w:r>
    </w:p>
    <w:p>
      <w:pPr>
        <w:pStyle w:val="Compact"/>
        <w:numPr>
          <w:ilvl w:val="0"/>
          <w:numId w:val="1054"/>
        </w:numPr>
      </w:pPr>
      <w:r>
        <w:rPr>
          <w:rStyle w:val="VerbatimChar"/>
        </w:rPr>
        <w:t xml:space="preserve">03-proof-of-synergy-consensus.md</w:t>
      </w:r>
    </w:p>
    <w:p>
      <w:pPr>
        <w:pStyle w:val="Compact"/>
        <w:numPr>
          <w:ilvl w:val="0"/>
          <w:numId w:val="1054"/>
        </w:numPr>
      </w:pPr>
      <w:r>
        <w:rPr>
          <w:rStyle w:val="VerbatimChar"/>
        </w:rPr>
        <w:t xml:space="preserve">Synergy_Network_Roadmap (1).docx</w:t>
      </w:r>
    </w:p>
    <w:p>
      <w:pPr>
        <w:pStyle w:val="Compact"/>
        <w:numPr>
          <w:ilvl w:val="0"/>
          <w:numId w:val="1054"/>
        </w:numPr>
      </w:pPr>
      <w:r>
        <w:rPr>
          <w:rStyle w:val="VerbatimChar"/>
        </w:rPr>
        <w:t xml:space="preserve">Synergy_Network_Security_Implementation_Specification.docx</w:t>
      </w:r>
    </w:p>
    <w:p>
      <w:pPr>
        <w:pStyle w:val="Compact"/>
        <w:numPr>
          <w:ilvl w:val="0"/>
          <w:numId w:val="1054"/>
        </w:numPr>
      </w:pPr>
      <w:r>
        <w:rPr>
          <w:rStyle w:val="VerbatimChar"/>
        </w:rPr>
        <w:t xml:space="preserve">Synergy_Network_Node_Technical_Specification.docx</w:t>
      </w:r>
    </w:p>
    <w:p>
      <w:pPr>
        <w:pStyle w:val="Compact"/>
        <w:numPr>
          <w:ilvl w:val="0"/>
          <w:numId w:val="1054"/>
        </w:numPr>
      </w:pPr>
      <w:r>
        <w:rPr>
          <w:rStyle w:val="VerbatimChar"/>
        </w:rPr>
        <w:t xml:space="preserve">Synergy_Network_Network_Configuration_Specification.docx</w:t>
      </w:r>
    </w:p>
    <w:p>
      <w:pPr>
        <w:pStyle w:val="Compact"/>
        <w:numPr>
          <w:ilvl w:val="0"/>
          <w:numId w:val="1054"/>
        </w:numPr>
      </w:pPr>
      <w:r>
        <w:rPr>
          <w:rStyle w:val="VerbatimChar"/>
        </w:rPr>
        <w:t xml:space="preserve">Master Network, Ports, and Nginx Configuration Manual.docx</w:t>
      </w:r>
    </w:p>
    <w:p>
      <w:pPr>
        <w:pStyle w:val="Compact"/>
        <w:numPr>
          <w:ilvl w:val="0"/>
          <w:numId w:val="1054"/>
        </w:numPr>
      </w:pPr>
      <w:r>
        <w:rPr>
          <w:rStyle w:val="VerbatimChar"/>
        </w:rPr>
        <w:t xml:space="preserve">rpc-methods.md</w:t>
      </w:r>
    </w:p>
    <w:p>
      <w:pPr>
        <w:pStyle w:val="Compact"/>
        <w:numPr>
          <w:ilvl w:val="0"/>
          <w:numId w:val="1054"/>
        </w:numPr>
      </w:pPr>
      <w:r>
        <w:rPr>
          <w:rStyle w:val="VerbatimChar"/>
        </w:rPr>
        <w:t xml:space="preserve">09-threat-model-security-patent-relevant-effects.docx</w:t>
      </w:r>
    </w:p>
    <w:bookmarkEnd w:id="97"/>
    <w:sectPr w:rsidR="00FC693F" w:rsidRPr="0006063C" w:rsidSect="00034616">
      <w:pgSz w:h="15840" w:w="12240"/>
      <w:pgMar w:bottom="864"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Aptos" w:eastAsia="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w:asciiTheme="majorHAnsi" w:cstheme="majorBidi" w:eastAsia="Aptos" w:eastAsiaTheme="majorEastAsia" w:hAnsi="Aptos" w:hAnsiTheme="majorHAnsi"/>
      <w:b/>
      <w:bCs/>
      <w:color w:val="0F2D4A"/>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w:asciiTheme="majorHAnsi" w:cstheme="majorBidi" w:eastAsia="Aptos" w:eastAsiaTheme="majorEastAsia" w:hAnsi="Aptos" w:hAnsiTheme="majorHAnsi"/>
      <w:b/>
      <w:bCs/>
      <w:color w:val="1F4E79"/>
      <w:sz w:val="25"/>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w:asciiTheme="majorHAnsi" w:cstheme="majorBidi" w:eastAsia="Aptos" w:eastAsiaTheme="majorEastAsia" w:hAnsi="Aptos" w:hAnsiTheme="majorHAnsi"/>
      <w:b/>
      <w:bCs/>
      <w:color w:val="1F4E79"/>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w:asciiTheme="majorHAnsi" w:cstheme="majorBidi" w:eastAsia="Aptos" w:eastAsiaTheme="majorEastAsia" w:hAnsi="Aptos" w:hAnsiTheme="majorHAnsi"/>
      <w:b/>
      <w:color w:val="0F2D4A"/>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ubtitleCustom" w:type="paragraph">
    <w:name w:val="SubtitleCustom"/>
    <w:rPr>
      <w:rFonts w:ascii="Aptos" w:eastAsia="Aptos" w:hAnsi="Aptos"/>
      <w:i/>
      <w:color w:val="4F5D6B"/>
      <w:sz w:val="24"/>
    </w:rPr>
  </w:style>
  <w:style w:customStyle="1" w:styleId="SmallNote" w:type="paragraph">
    <w:name w:val="SmallNote"/>
    <w:rPr>
      <w:rFonts w:ascii="Aptos" w:eastAsia="Aptos" w:hAnsi="Aptos"/>
      <w:i/>
      <w:color w:val="5B6770"/>
      <w:sz w:val="17"/>
    </w:rPr>
  </w:style>
  <w:style w:customStyle="1" w:styleId="CodeLite" w:type="paragraph">
    <w:name w:val="CodeLite"/>
    <w:rPr>
      <w:rFonts w:ascii="Consolas" w:eastAsia="Consolas" w:hAnsi="Consolas"/>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Synergy Network DAG Validator Cluster Integration and Security Hardening Report</dc:title>
  <dc:creator/>
  <cp:keywords/>
  <dcterms:created xsi:type="dcterms:W3CDTF">2026-03-19T12:45:49Z</dcterms:created>
  <dcterms:modified xsi:type="dcterms:W3CDTF">2026-03-19T12:45:49Z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19, 2026</vt:lpwstr>
  </property>
  <property fmtid="{D5CDD505-2E9C-101B-9397-08002B2CF9AE}" pid="3" name="numbersections">
    <vt:lpwstr>True</vt:lpwstr>
  </property>
  <property fmtid="{D5CDD505-2E9C-101B-9397-08002B2CF9AE}" pid="4" name="subtitle">
    <vt:lpwstr>Merged and expanded report: earlier integration plan + direct review of src.zip validator/client source</vt:lpwstr>
  </property>
</Properties>
</file>