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9DAA5" w14:textId="77777777" w:rsidR="006A213E" w:rsidRDefault="00000000">
      <w:pPr>
        <w:pStyle w:val="Heading2"/>
        <w:spacing w:after="40"/>
        <w:jc w:val="center"/>
      </w:pPr>
      <w:r>
        <w:rPr>
          <w:rFonts w:ascii="Arial" w:eastAsia="Arial" w:hAnsi="Arial"/>
        </w:rPr>
        <w:t>SYNERGY NETWORK</w:t>
      </w:r>
    </w:p>
    <w:p w14:paraId="1375BCB8" w14:textId="77777777" w:rsidR="006A213E" w:rsidRDefault="00000000">
      <w:pPr>
        <w:pStyle w:val="Title"/>
        <w:spacing w:after="60"/>
        <w:jc w:val="center"/>
      </w:pPr>
      <w:r>
        <w:rPr>
          <w:rFonts w:ascii="Arial" w:eastAsia="Arial" w:hAnsi="Arial"/>
        </w:rPr>
        <w:t>Security Implementation Specification v1.1</w:t>
      </w:r>
    </w:p>
    <w:p w14:paraId="26D58AFA" w14:textId="77777777" w:rsidR="006A213E" w:rsidRDefault="00000000">
      <w:pPr>
        <w:pStyle w:val="Subtitle"/>
        <w:spacing w:after="40"/>
        <w:jc w:val="center"/>
      </w:pPr>
      <w:r>
        <w:rPr>
          <w:rFonts w:ascii="Arial" w:eastAsia="Arial" w:hAnsi="Arial"/>
        </w:rPr>
        <w:t>DAG Extended</w:t>
      </w:r>
    </w:p>
    <w:p w14:paraId="69417222" w14:textId="77777777" w:rsidR="006A213E" w:rsidRDefault="00000000">
      <w:pPr>
        <w:pStyle w:val="Subtitle"/>
        <w:spacing w:after="200"/>
        <w:jc w:val="center"/>
      </w:pPr>
      <w:r>
        <w:rPr>
          <w:rFonts w:ascii="Arial" w:eastAsia="Arial" w:hAnsi="Arial"/>
        </w:rPr>
        <w:t>Cluster-Local DAG Countermeasures, Validator Controls, Forensics, and Verification Methodology</w:t>
      </w:r>
    </w:p>
    <w:tbl>
      <w:tblPr>
        <w:tblW w:w="0" w:type="auto"/>
        <w:jc w:val="center"/>
        <w:tblLayout w:type="fixed"/>
        <w:tblLook w:val="04A0" w:firstRow="1" w:lastRow="0" w:firstColumn="1" w:lastColumn="0" w:noHBand="0" w:noVBand="1"/>
      </w:tblPr>
      <w:tblGrid>
        <w:gridCol w:w="2520"/>
        <w:gridCol w:w="6263"/>
      </w:tblGrid>
      <w:tr w:rsidR="006A213E" w14:paraId="5C3D4F7B" w14:textId="77777777">
        <w:trPr>
          <w:cantSplit/>
          <w:jc w:val="center"/>
        </w:trPr>
        <w:tc>
          <w:tcPr>
            <w:tcW w:w="2520" w:type="dxa"/>
            <w:tcBorders>
              <w:top w:val="single" w:sz="6" w:space="0" w:color="D7E3EF"/>
              <w:left w:val="single" w:sz="6" w:space="0" w:color="D7E3EF"/>
              <w:bottom w:val="single" w:sz="6" w:space="0" w:color="D7E3EF"/>
              <w:right w:val="single" w:sz="6" w:space="0" w:color="D7E3EF"/>
            </w:tcBorders>
            <w:shd w:val="clear" w:color="auto" w:fill="EAF2F8"/>
            <w:tcMar>
              <w:top w:w="60" w:type="dxa"/>
              <w:left w:w="100" w:type="dxa"/>
              <w:bottom w:w="60" w:type="dxa"/>
              <w:right w:w="100" w:type="dxa"/>
            </w:tcMar>
            <w:vAlign w:val="center"/>
          </w:tcPr>
          <w:p w14:paraId="0EC46FFA" w14:textId="77777777" w:rsidR="006A213E" w:rsidRDefault="00000000">
            <w:pPr>
              <w:pStyle w:val="BodyTight"/>
              <w:spacing w:after="0"/>
            </w:pPr>
            <w:r>
              <w:rPr>
                <w:b/>
                <w:color w:val="1F4E78"/>
              </w:rPr>
              <w:t>Version</w:t>
            </w:r>
          </w:p>
        </w:tc>
        <w:tc>
          <w:tcPr>
            <w:tcW w:w="6263" w:type="dxa"/>
            <w:tcBorders>
              <w:top w:val="single" w:sz="6" w:space="0" w:color="D7E3EF"/>
              <w:left w:val="single" w:sz="6" w:space="0" w:color="D7E3EF"/>
              <w:bottom w:val="single" w:sz="6" w:space="0" w:color="D7E3EF"/>
              <w:right w:val="single" w:sz="6" w:space="0" w:color="D7E3EF"/>
            </w:tcBorders>
            <w:tcMar>
              <w:top w:w="60" w:type="dxa"/>
              <w:left w:w="100" w:type="dxa"/>
              <w:bottom w:w="60" w:type="dxa"/>
              <w:right w:w="100" w:type="dxa"/>
            </w:tcMar>
            <w:vAlign w:val="center"/>
          </w:tcPr>
          <w:p w14:paraId="21087355" w14:textId="77777777" w:rsidR="006A213E" w:rsidRDefault="00000000">
            <w:pPr>
              <w:pStyle w:val="BodyTight"/>
              <w:spacing w:after="0"/>
            </w:pPr>
            <w:r>
              <w:t>1.1 — DAG extended normative companion to the baseline Synergy security specification.</w:t>
            </w:r>
          </w:p>
        </w:tc>
      </w:tr>
      <w:tr w:rsidR="006A213E" w14:paraId="009C49AC" w14:textId="77777777">
        <w:trPr>
          <w:cantSplit/>
          <w:jc w:val="center"/>
        </w:trPr>
        <w:tc>
          <w:tcPr>
            <w:tcW w:w="2520" w:type="dxa"/>
            <w:tcBorders>
              <w:top w:val="single" w:sz="6" w:space="0" w:color="D7E3EF"/>
              <w:left w:val="single" w:sz="6" w:space="0" w:color="D7E3EF"/>
              <w:bottom w:val="single" w:sz="6" w:space="0" w:color="D7E3EF"/>
              <w:right w:val="single" w:sz="6" w:space="0" w:color="D7E3EF"/>
            </w:tcBorders>
            <w:shd w:val="clear" w:color="auto" w:fill="EAF2F8"/>
            <w:tcMar>
              <w:top w:w="60" w:type="dxa"/>
              <w:left w:w="100" w:type="dxa"/>
              <w:bottom w:w="60" w:type="dxa"/>
              <w:right w:w="100" w:type="dxa"/>
            </w:tcMar>
            <w:vAlign w:val="center"/>
          </w:tcPr>
          <w:p w14:paraId="371F0617" w14:textId="77777777" w:rsidR="006A213E" w:rsidRDefault="00000000">
            <w:pPr>
              <w:pStyle w:val="BodyTight"/>
              <w:spacing w:after="0"/>
            </w:pPr>
            <w:r>
              <w:rPr>
                <w:b/>
                <w:color w:val="1F4E78"/>
              </w:rPr>
              <w:t>Classification</w:t>
            </w:r>
          </w:p>
        </w:tc>
        <w:tc>
          <w:tcPr>
            <w:tcW w:w="6263" w:type="dxa"/>
            <w:tcBorders>
              <w:top w:val="single" w:sz="6" w:space="0" w:color="D7E3EF"/>
              <w:left w:val="single" w:sz="6" w:space="0" w:color="D7E3EF"/>
              <w:bottom w:val="single" w:sz="6" w:space="0" w:color="D7E3EF"/>
              <w:right w:val="single" w:sz="6" w:space="0" w:color="D7E3EF"/>
            </w:tcBorders>
            <w:tcMar>
              <w:top w:w="60" w:type="dxa"/>
              <w:left w:w="100" w:type="dxa"/>
              <w:bottom w:w="60" w:type="dxa"/>
              <w:right w:w="100" w:type="dxa"/>
            </w:tcMar>
            <w:vAlign w:val="center"/>
          </w:tcPr>
          <w:p w14:paraId="3C39631E" w14:textId="77777777" w:rsidR="006A213E" w:rsidRDefault="00000000">
            <w:pPr>
              <w:pStyle w:val="BodyTight"/>
              <w:spacing w:after="0"/>
            </w:pPr>
            <w:r>
              <w:t>Internal technical specification for architecture, protocol engineering, validator operations, audit, and red-team execution.</w:t>
            </w:r>
          </w:p>
        </w:tc>
      </w:tr>
      <w:tr w:rsidR="006A213E" w14:paraId="01281D60" w14:textId="77777777">
        <w:trPr>
          <w:cantSplit/>
          <w:jc w:val="center"/>
        </w:trPr>
        <w:tc>
          <w:tcPr>
            <w:tcW w:w="2520" w:type="dxa"/>
            <w:tcBorders>
              <w:top w:val="single" w:sz="6" w:space="0" w:color="D7E3EF"/>
              <w:left w:val="single" w:sz="6" w:space="0" w:color="D7E3EF"/>
              <w:bottom w:val="single" w:sz="6" w:space="0" w:color="D7E3EF"/>
              <w:right w:val="single" w:sz="6" w:space="0" w:color="D7E3EF"/>
            </w:tcBorders>
            <w:shd w:val="clear" w:color="auto" w:fill="EAF2F8"/>
            <w:tcMar>
              <w:top w:w="60" w:type="dxa"/>
              <w:left w:w="100" w:type="dxa"/>
              <w:bottom w:w="60" w:type="dxa"/>
              <w:right w:w="100" w:type="dxa"/>
            </w:tcMar>
            <w:vAlign w:val="center"/>
          </w:tcPr>
          <w:p w14:paraId="06C301D0" w14:textId="77777777" w:rsidR="006A213E" w:rsidRDefault="00000000">
            <w:pPr>
              <w:pStyle w:val="BodyTight"/>
              <w:spacing w:after="0"/>
            </w:pPr>
            <w:r>
              <w:rPr>
                <w:b/>
                <w:color w:val="1F4E78"/>
              </w:rPr>
              <w:t>Scope</w:t>
            </w:r>
          </w:p>
        </w:tc>
        <w:tc>
          <w:tcPr>
            <w:tcW w:w="6263" w:type="dxa"/>
            <w:tcBorders>
              <w:top w:val="single" w:sz="6" w:space="0" w:color="D7E3EF"/>
              <w:left w:val="single" w:sz="6" w:space="0" w:color="D7E3EF"/>
              <w:bottom w:val="single" w:sz="6" w:space="0" w:color="D7E3EF"/>
              <w:right w:val="single" w:sz="6" w:space="0" w:color="D7E3EF"/>
            </w:tcBorders>
            <w:tcMar>
              <w:top w:w="60" w:type="dxa"/>
              <w:left w:w="100" w:type="dxa"/>
              <w:bottom w:w="60" w:type="dxa"/>
              <w:right w:w="100" w:type="dxa"/>
            </w:tcMar>
            <w:vAlign w:val="center"/>
          </w:tcPr>
          <w:p w14:paraId="02293021" w14:textId="77777777" w:rsidR="006A213E" w:rsidRDefault="00000000">
            <w:pPr>
              <w:pStyle w:val="BodyTight"/>
              <w:spacing w:after="0"/>
            </w:pPr>
            <w:r>
              <w:t>Security rules and enforcement requirements for Synergy's cluster-local certified DAG sublayer, including dissemination, availability, ordering, replay, pruning, recovery, RPC exposure, and forensic retention.</w:t>
            </w:r>
          </w:p>
        </w:tc>
      </w:tr>
      <w:tr w:rsidR="006A213E" w14:paraId="1134EB1C" w14:textId="77777777">
        <w:trPr>
          <w:cantSplit/>
          <w:jc w:val="center"/>
        </w:trPr>
        <w:tc>
          <w:tcPr>
            <w:tcW w:w="2520" w:type="dxa"/>
            <w:tcBorders>
              <w:top w:val="single" w:sz="6" w:space="0" w:color="D7E3EF"/>
              <w:left w:val="single" w:sz="6" w:space="0" w:color="D7E3EF"/>
              <w:bottom w:val="single" w:sz="6" w:space="0" w:color="D7E3EF"/>
              <w:right w:val="single" w:sz="6" w:space="0" w:color="D7E3EF"/>
            </w:tcBorders>
            <w:shd w:val="clear" w:color="auto" w:fill="EAF2F8"/>
            <w:tcMar>
              <w:top w:w="60" w:type="dxa"/>
              <w:left w:w="100" w:type="dxa"/>
              <w:bottom w:w="60" w:type="dxa"/>
              <w:right w:w="100" w:type="dxa"/>
            </w:tcMar>
            <w:vAlign w:val="center"/>
          </w:tcPr>
          <w:p w14:paraId="7AFB8A42" w14:textId="77777777" w:rsidR="006A213E" w:rsidRDefault="00000000">
            <w:pPr>
              <w:pStyle w:val="BodyTight"/>
              <w:spacing w:after="0"/>
            </w:pPr>
            <w:r>
              <w:rPr>
                <w:b/>
                <w:color w:val="1F4E78"/>
              </w:rPr>
              <w:t>Authority</w:t>
            </w:r>
          </w:p>
        </w:tc>
        <w:tc>
          <w:tcPr>
            <w:tcW w:w="6263" w:type="dxa"/>
            <w:tcBorders>
              <w:top w:val="single" w:sz="6" w:space="0" w:color="D7E3EF"/>
              <w:left w:val="single" w:sz="6" w:space="0" w:color="D7E3EF"/>
              <w:bottom w:val="single" w:sz="6" w:space="0" w:color="D7E3EF"/>
              <w:right w:val="single" w:sz="6" w:space="0" w:color="D7E3EF"/>
            </w:tcBorders>
            <w:tcMar>
              <w:top w:w="60" w:type="dxa"/>
              <w:left w:w="100" w:type="dxa"/>
              <w:bottom w:w="60" w:type="dxa"/>
              <w:right w:w="100" w:type="dxa"/>
            </w:tcMar>
            <w:vAlign w:val="center"/>
          </w:tcPr>
          <w:p w14:paraId="1EF3FCC6" w14:textId="77777777" w:rsidR="006A213E" w:rsidRDefault="00000000">
            <w:pPr>
              <w:pStyle w:val="BodyTight"/>
              <w:spacing w:after="0"/>
            </w:pPr>
            <w:r>
              <w:t>This document extends the baseline Security Implementation Specification v1.0 and is intended to be applied together with the DAG Architecture &amp; Security Specification v1.0 and the DAG RPC Specification (Part 3).</w:t>
            </w:r>
          </w:p>
        </w:tc>
      </w:tr>
      <w:tr w:rsidR="006A213E" w14:paraId="5DA5D3D2" w14:textId="77777777">
        <w:trPr>
          <w:cantSplit/>
          <w:jc w:val="center"/>
        </w:trPr>
        <w:tc>
          <w:tcPr>
            <w:tcW w:w="2520" w:type="dxa"/>
            <w:tcBorders>
              <w:top w:val="single" w:sz="6" w:space="0" w:color="D7E3EF"/>
              <w:left w:val="single" w:sz="6" w:space="0" w:color="D7E3EF"/>
              <w:bottom w:val="single" w:sz="6" w:space="0" w:color="D7E3EF"/>
              <w:right w:val="single" w:sz="6" w:space="0" w:color="D7E3EF"/>
            </w:tcBorders>
            <w:shd w:val="clear" w:color="auto" w:fill="EAF2F8"/>
            <w:tcMar>
              <w:top w:w="60" w:type="dxa"/>
              <w:left w:w="100" w:type="dxa"/>
              <w:bottom w:w="60" w:type="dxa"/>
              <w:right w:w="100" w:type="dxa"/>
            </w:tcMar>
            <w:vAlign w:val="center"/>
          </w:tcPr>
          <w:p w14:paraId="362C46F9" w14:textId="77777777" w:rsidR="006A213E" w:rsidRDefault="00000000">
            <w:pPr>
              <w:pStyle w:val="BodyTight"/>
              <w:spacing w:after="0"/>
            </w:pPr>
            <w:r>
              <w:rPr>
                <w:b/>
                <w:color w:val="1F4E78"/>
              </w:rPr>
              <w:t>Primary Settlement Rule</w:t>
            </w:r>
          </w:p>
        </w:tc>
        <w:tc>
          <w:tcPr>
            <w:tcW w:w="6263" w:type="dxa"/>
            <w:tcBorders>
              <w:top w:val="single" w:sz="6" w:space="0" w:color="D7E3EF"/>
              <w:left w:val="single" w:sz="6" w:space="0" w:color="D7E3EF"/>
              <w:bottom w:val="single" w:sz="6" w:space="0" w:color="D7E3EF"/>
              <w:right w:val="single" w:sz="6" w:space="0" w:color="D7E3EF"/>
            </w:tcBorders>
            <w:tcMar>
              <w:top w:w="60" w:type="dxa"/>
              <w:left w:w="100" w:type="dxa"/>
              <w:bottom w:w="60" w:type="dxa"/>
              <w:right w:w="100" w:type="dxa"/>
            </w:tcMar>
            <w:vAlign w:val="center"/>
          </w:tcPr>
          <w:p w14:paraId="5BAB81F7" w14:textId="77777777" w:rsidR="006A213E" w:rsidRDefault="00000000">
            <w:pPr>
              <w:pStyle w:val="BodyTight"/>
              <w:spacing w:after="0"/>
            </w:pPr>
            <w:r>
              <w:t>The DAG is not an alternate finality mechanism. PoSy dual-quorum quorum certificates remain the only canonical settlement artifact.</w:t>
            </w:r>
          </w:p>
        </w:tc>
      </w:tr>
    </w:tbl>
    <w:p w14:paraId="3DBBF921" w14:textId="77777777" w:rsidR="006A213E" w:rsidRDefault="006A213E">
      <w:pPr>
        <w:spacing w:after="80"/>
      </w:pPr>
    </w:p>
    <w:tbl>
      <w:tblPr>
        <w:tblW w:w="0" w:type="auto"/>
        <w:jc w:val="center"/>
        <w:tblLayout w:type="fixed"/>
        <w:tblLook w:val="04A0" w:firstRow="1" w:lastRow="0" w:firstColumn="1" w:lastColumn="0" w:noHBand="0" w:noVBand="1"/>
      </w:tblPr>
      <w:tblGrid>
        <w:gridCol w:w="8784"/>
      </w:tblGrid>
      <w:tr w:rsidR="006A213E" w14:paraId="19F784C9" w14:textId="77777777">
        <w:trPr>
          <w:tblHeader/>
          <w:jc w:val="center"/>
        </w:trPr>
        <w:tc>
          <w:tcPr>
            <w:tcW w:w="8784" w:type="dxa"/>
            <w:tcBorders>
              <w:top w:val="single" w:sz="12" w:space="0" w:color="1F4E78"/>
              <w:left w:val="single" w:sz="12" w:space="0" w:color="1F4E78"/>
              <w:bottom w:val="single" w:sz="12" w:space="0" w:color="1F4E78"/>
              <w:right w:val="single" w:sz="12" w:space="0" w:color="1F4E78"/>
            </w:tcBorders>
            <w:shd w:val="clear" w:color="auto" w:fill="EAF2F8"/>
            <w:tcMar>
              <w:top w:w="110" w:type="dxa"/>
              <w:left w:w="140" w:type="dxa"/>
              <w:bottom w:w="110" w:type="dxa"/>
              <w:right w:w="140" w:type="dxa"/>
            </w:tcMar>
          </w:tcPr>
          <w:p w14:paraId="6F5138A8" w14:textId="77777777" w:rsidR="006A213E" w:rsidRDefault="00000000">
            <w:pPr>
              <w:pStyle w:val="BodyTight"/>
              <w:spacing w:after="0"/>
            </w:pPr>
            <w:r>
              <w:rPr>
                <w:b/>
                <w:color w:val="1F4E78"/>
              </w:rPr>
              <w:t>FAIL-CLOSED DAG RULE: if DAG correctness, availability certification, checkpoint lineage, or deterministic ordering cannot be proved locally, the validator must refuse DAG-influenced ordering and enter quarantine or safe fallback rather than continue optimistically.</w:t>
            </w:r>
          </w:p>
        </w:tc>
      </w:tr>
    </w:tbl>
    <w:p w14:paraId="47ADE152" w14:textId="77777777" w:rsidR="006A213E" w:rsidRDefault="00000000">
      <w:pPr>
        <w:spacing w:before="200"/>
      </w:pPr>
      <w:r>
        <w:t>Prepared for the Synergy Network validator-cluster rollout. This update closes the exact security gap created when a high-throughput DAG data plane is introduced beneath a deterministic BFT settlement layer. The document does not soften any existing Synergy protections; it hardens them for the new attack surface.</w:t>
      </w:r>
    </w:p>
    <w:p w14:paraId="74A9D982" w14:textId="77777777" w:rsidR="006A213E" w:rsidRDefault="00000000">
      <w:pPr>
        <w:pStyle w:val="Heading1"/>
      </w:pPr>
      <w:r>
        <w:rPr>
          <w:rFonts w:ascii="Arial" w:eastAsia="Arial" w:hAnsi="Arial"/>
        </w:rPr>
        <w:t>Executive Summary</w:t>
      </w:r>
    </w:p>
    <w:p w14:paraId="330A3E72" w14:textId="77777777" w:rsidR="006A213E" w:rsidRDefault="00000000">
      <w:r>
        <w:t>Synergy's cluster-local DAG is the right architectural move only if it remains tightly bounded. The wrong design would be to let the DAG become a second settlement plane, to treat raw vertex gossip as authoritative, or to accept availability claims that are not backed by durable batch possession. This specification therefore codifies one blunt principle: the DAG may improve dissemination, batching, and proposer input quality, but it must never dilute finality, auditability, or fail-closed behavior.</w:t>
      </w:r>
    </w:p>
    <w:p w14:paraId="2B0A7CBF" w14:textId="77777777" w:rsidR="006A213E" w:rsidRDefault="00000000">
      <w:r>
        <w:t>DAG failures are different from ordinary contract-layer failures. The dangerous faults are mostly network-plane and coordination-plane faults: withholding, false receipts, missing-parent poisoning, clique formation, replay across epochs, deterministic-order divergence, pruning corruption, and control-plane abuse. Those faults do not show up as a neat contract revert; they manifest as disagreement about what data exists, what can be ordered, and what evidence survives after the fact. This is why Synergy must treat availability certification, deterministic cut verification, and evidence retention as first-class consensus-adjacent controls rather than optional operator conveniences.</w:t>
      </w:r>
    </w:p>
    <w:p w14:paraId="4C60835A" w14:textId="77777777" w:rsidR="006A213E" w:rsidRDefault="00000000">
      <w:r>
        <w:lastRenderedPageBreak/>
        <w:t>This update adds three DAG-specific attack categories to the Synergy security model. Attack Category 15 covers dissemination and availability attacks. Attack Category 16 covers ordering, replay, equivocation, and cross-layer consistency attacks. Attack Category 17 covers pruning, recovery, forensics, and RPC/control-plane abuse. Together they define the minimum security envelope for a production-credible Synergy DAG rollout.</w:t>
      </w:r>
    </w:p>
    <w:p w14:paraId="2D9BF6FA" w14:textId="77777777" w:rsidR="006A213E" w:rsidRDefault="00000000">
      <w:pPr>
        <w:pStyle w:val="Heading1"/>
      </w:pPr>
      <w:r>
        <w:rPr>
          <w:rFonts w:ascii="Arial" w:eastAsia="Arial" w:hAnsi="Arial"/>
        </w:rPr>
        <w:t>Relationship to the Baseline Security Specification</w:t>
      </w:r>
    </w:p>
    <w:p w14:paraId="535EA225" w14:textId="77777777" w:rsidR="006A213E" w:rsidRDefault="00000000">
      <w:r>
        <w:t>The baseline Security Implementation Specification remains in force. Every pre-existing consensus, wallet, language, approval, replay, recovery, and operator safeguard still applies. This document does not replace those controls; it extends them into the DAG sublayer and resolves the question the earlier baseline could not answer on its own: what exactly prevents the DAG from becoming a new theft, censorship, consistency, or recovery surface?</w:t>
      </w:r>
    </w:p>
    <w:tbl>
      <w:tblPr>
        <w:tblW w:w="0" w:type="auto"/>
        <w:jc w:val="center"/>
        <w:tblLayout w:type="fixed"/>
        <w:tblLook w:val="04A0" w:firstRow="1" w:lastRow="0" w:firstColumn="1" w:lastColumn="0" w:noHBand="0" w:noVBand="1"/>
      </w:tblPr>
      <w:tblGrid>
        <w:gridCol w:w="3096"/>
        <w:gridCol w:w="5688"/>
      </w:tblGrid>
      <w:tr w:rsidR="006A213E" w14:paraId="29FD5B0A" w14:textId="77777777">
        <w:trPr>
          <w:cantSplit/>
          <w:tblHeader/>
          <w:jc w:val="center"/>
        </w:trPr>
        <w:tc>
          <w:tcPr>
            <w:tcW w:w="3096" w:type="dxa"/>
            <w:tcBorders>
              <w:top w:val="single" w:sz="10" w:space="0" w:color="376996"/>
              <w:left w:val="single" w:sz="10" w:space="0" w:color="376996"/>
              <w:bottom w:val="single" w:sz="10" w:space="0" w:color="376996"/>
              <w:right w:val="single" w:sz="10" w:space="0" w:color="376996"/>
            </w:tcBorders>
            <w:shd w:val="clear" w:color="auto" w:fill="376996"/>
            <w:tcMar>
              <w:top w:w="120" w:type="dxa"/>
              <w:left w:w="110" w:type="dxa"/>
              <w:bottom w:w="120" w:type="dxa"/>
              <w:right w:w="110" w:type="dxa"/>
            </w:tcMar>
            <w:vAlign w:val="center"/>
          </w:tcPr>
          <w:p w14:paraId="707F50A9" w14:textId="77777777" w:rsidR="006A213E" w:rsidRDefault="00000000">
            <w:pPr>
              <w:pStyle w:val="BodyTight"/>
              <w:spacing w:after="0"/>
              <w:jc w:val="center"/>
            </w:pPr>
            <w:r>
              <w:rPr>
                <w:b/>
                <w:color w:val="FFFFFF"/>
                <w:sz w:val="19"/>
              </w:rPr>
              <w:t>Companion document</w:t>
            </w:r>
          </w:p>
        </w:tc>
        <w:tc>
          <w:tcPr>
            <w:tcW w:w="5688" w:type="dxa"/>
            <w:tcBorders>
              <w:top w:val="single" w:sz="10" w:space="0" w:color="376996"/>
              <w:left w:val="single" w:sz="10" w:space="0" w:color="376996"/>
              <w:bottom w:val="single" w:sz="10" w:space="0" w:color="376996"/>
              <w:right w:val="single" w:sz="10" w:space="0" w:color="376996"/>
            </w:tcBorders>
            <w:shd w:val="clear" w:color="auto" w:fill="376996"/>
            <w:tcMar>
              <w:top w:w="120" w:type="dxa"/>
              <w:left w:w="110" w:type="dxa"/>
              <w:bottom w:w="120" w:type="dxa"/>
              <w:right w:w="110" w:type="dxa"/>
            </w:tcMar>
            <w:vAlign w:val="center"/>
          </w:tcPr>
          <w:p w14:paraId="5F4660D3" w14:textId="77777777" w:rsidR="006A213E" w:rsidRDefault="00000000">
            <w:pPr>
              <w:pStyle w:val="BodyTight"/>
              <w:spacing w:after="0"/>
              <w:jc w:val="center"/>
            </w:pPr>
            <w:r>
              <w:rPr>
                <w:b/>
                <w:color w:val="FFFFFF"/>
                <w:sz w:val="19"/>
              </w:rPr>
              <w:t>Effect on this DAG extension</w:t>
            </w:r>
          </w:p>
        </w:tc>
      </w:tr>
      <w:tr w:rsidR="006A213E" w14:paraId="5D3F0D07" w14:textId="77777777">
        <w:trPr>
          <w:cantSplit/>
          <w:jc w:val="center"/>
        </w:trPr>
        <w:tc>
          <w:tcPr>
            <w:tcW w:w="309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79A670C" w14:textId="77777777" w:rsidR="006A213E" w:rsidRDefault="00000000">
            <w:pPr>
              <w:pStyle w:val="BodyTight"/>
              <w:spacing w:after="0"/>
            </w:pPr>
            <w:r>
              <w:rPr>
                <w:sz w:val="18"/>
              </w:rPr>
              <w:t>Baseline Security Implementation Specification v1.0</w:t>
            </w:r>
          </w:p>
        </w:tc>
        <w:tc>
          <w:tcPr>
            <w:tcW w:w="568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9701E15" w14:textId="77777777" w:rsidR="006A213E" w:rsidRDefault="00000000">
            <w:pPr>
              <w:pStyle w:val="BodyTight"/>
              <w:spacing w:after="0"/>
            </w:pPr>
            <w:r>
              <w:rPr>
                <w:sz w:val="18"/>
              </w:rPr>
              <w:t>Remains authoritative for non-DAG attack categories and for cross-cutting wallet, approval, nonce, signature, recovery, and policy controls.</w:t>
            </w:r>
          </w:p>
        </w:tc>
      </w:tr>
      <w:tr w:rsidR="006A213E" w14:paraId="49414BE5" w14:textId="77777777">
        <w:trPr>
          <w:cantSplit/>
          <w:jc w:val="center"/>
        </w:trPr>
        <w:tc>
          <w:tcPr>
            <w:tcW w:w="309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6E3BA0E" w14:textId="77777777" w:rsidR="006A213E" w:rsidRDefault="00000000">
            <w:pPr>
              <w:pStyle w:val="BodyTight"/>
              <w:spacing w:after="0"/>
            </w:pPr>
            <w:r>
              <w:rPr>
                <w:sz w:val="18"/>
              </w:rPr>
              <w:t>DAG Architecture &amp; Security Specification v1.0</w:t>
            </w:r>
          </w:p>
        </w:tc>
        <w:tc>
          <w:tcPr>
            <w:tcW w:w="568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965963B" w14:textId="77777777" w:rsidR="006A213E" w:rsidRDefault="00000000">
            <w:pPr>
              <w:pStyle w:val="BodyTight"/>
              <w:spacing w:after="0"/>
            </w:pPr>
            <w:r>
              <w:rPr>
                <w:sz w:val="18"/>
              </w:rPr>
              <w:t>Defines the target architecture. This document translates that design into explicit security obligations, enforcement points, and verification gates.</w:t>
            </w:r>
          </w:p>
        </w:tc>
      </w:tr>
      <w:tr w:rsidR="006A213E" w14:paraId="4A39EF51" w14:textId="77777777">
        <w:trPr>
          <w:cantSplit/>
          <w:jc w:val="center"/>
        </w:trPr>
        <w:tc>
          <w:tcPr>
            <w:tcW w:w="309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690970C6" w14:textId="77777777" w:rsidR="006A213E" w:rsidRDefault="00000000">
            <w:pPr>
              <w:pStyle w:val="BodyTight"/>
              <w:spacing w:after="0"/>
            </w:pPr>
            <w:r>
              <w:rPr>
                <w:sz w:val="18"/>
              </w:rPr>
              <w:t>RPC Specification Part 3</w:t>
            </w:r>
          </w:p>
        </w:tc>
        <w:tc>
          <w:tcPr>
            <w:tcW w:w="568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A383AF1" w14:textId="77777777" w:rsidR="006A213E" w:rsidRDefault="00000000">
            <w:pPr>
              <w:pStyle w:val="BodyTight"/>
              <w:spacing w:after="0"/>
            </w:pPr>
            <w:r>
              <w:rPr>
                <w:sz w:val="18"/>
              </w:rPr>
              <w:t>Defines the DAG method surface. This document defines which of those methods may be public, which must be cluster-private, and which must remain operator- or audit-profile only.</w:t>
            </w:r>
          </w:p>
        </w:tc>
      </w:tr>
      <w:tr w:rsidR="006A213E" w14:paraId="125483FE" w14:textId="77777777">
        <w:trPr>
          <w:cantSplit/>
          <w:jc w:val="center"/>
        </w:trPr>
        <w:tc>
          <w:tcPr>
            <w:tcW w:w="309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B9EC002" w14:textId="77777777" w:rsidR="006A213E" w:rsidRDefault="00000000">
            <w:pPr>
              <w:pStyle w:val="BodyTight"/>
              <w:spacing w:after="0"/>
            </w:pPr>
            <w:r>
              <w:rPr>
                <w:sz w:val="18"/>
              </w:rPr>
              <w:t>PoSy consensus materials</w:t>
            </w:r>
          </w:p>
        </w:tc>
        <w:tc>
          <w:tcPr>
            <w:tcW w:w="568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438CE71" w14:textId="77777777" w:rsidR="006A213E" w:rsidRDefault="00000000">
            <w:pPr>
              <w:pStyle w:val="BodyTight"/>
              <w:spacing w:after="0"/>
            </w:pPr>
            <w:r>
              <w:rPr>
                <w:sz w:val="18"/>
              </w:rPr>
              <w:t>Remain authoritative for finality, cluster rotation, and quorum-certificate safety. The DAG must compose beneath those assumptions rather than replace them.</w:t>
            </w:r>
          </w:p>
        </w:tc>
      </w:tr>
    </w:tbl>
    <w:p w14:paraId="4F5870ED" w14:textId="77777777" w:rsidR="006A213E" w:rsidRDefault="00000000">
      <w:pPr>
        <w:pStyle w:val="Heading1"/>
      </w:pPr>
      <w:r>
        <w:rPr>
          <w:rFonts w:ascii="Arial" w:eastAsia="Arial" w:hAnsi="Arial"/>
        </w:rPr>
        <w:t>DAG Security Boundary and Non-Negotiable Invariants</w:t>
      </w:r>
    </w:p>
    <w:p w14:paraId="0EF12325" w14:textId="77777777" w:rsidR="006A213E" w:rsidRDefault="00000000">
      <w:r>
        <w:t>These invariants are normative. A validator or operator workflow that violates any one of them is non-compliant even if the network appears to keep running. Synergy is explicitly a safety-over-liveness design, and the DAG layer must inherit that posture.</w:t>
      </w:r>
    </w:p>
    <w:tbl>
      <w:tblPr>
        <w:tblW w:w="0" w:type="auto"/>
        <w:jc w:val="center"/>
        <w:tblLayout w:type="fixed"/>
        <w:tblLook w:val="04A0" w:firstRow="1" w:lastRow="0" w:firstColumn="1" w:lastColumn="0" w:noHBand="0" w:noVBand="1"/>
      </w:tblPr>
      <w:tblGrid>
        <w:gridCol w:w="1655"/>
        <w:gridCol w:w="2232"/>
        <w:gridCol w:w="2808"/>
        <w:gridCol w:w="2088"/>
      </w:tblGrid>
      <w:tr w:rsidR="006A213E" w14:paraId="2AEE12B7" w14:textId="77777777">
        <w:trPr>
          <w:cantSplit/>
          <w:tblHeader/>
          <w:jc w:val="center"/>
        </w:trPr>
        <w:tc>
          <w:tcPr>
            <w:tcW w:w="1655"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53DDFD42" w14:textId="77777777" w:rsidR="006A213E" w:rsidRDefault="00000000">
            <w:pPr>
              <w:pStyle w:val="BodyTight"/>
              <w:spacing w:after="0"/>
              <w:jc w:val="center"/>
            </w:pPr>
            <w:r>
              <w:rPr>
                <w:b/>
                <w:color w:val="FFFFFF"/>
                <w:sz w:val="19"/>
              </w:rPr>
              <w:t>Invariant</w:t>
            </w:r>
          </w:p>
        </w:tc>
        <w:tc>
          <w:tcPr>
            <w:tcW w:w="2232"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0649BD5F" w14:textId="77777777" w:rsidR="006A213E" w:rsidRDefault="00000000">
            <w:pPr>
              <w:pStyle w:val="BodyTight"/>
              <w:spacing w:after="0"/>
              <w:jc w:val="center"/>
            </w:pPr>
            <w:r>
              <w:rPr>
                <w:b/>
                <w:color w:val="FFFFFF"/>
                <w:sz w:val="19"/>
              </w:rPr>
              <w:t>Why it exists</w:t>
            </w:r>
          </w:p>
        </w:tc>
        <w:tc>
          <w:tcPr>
            <w:tcW w:w="2808"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55F2AAAB" w14:textId="77777777" w:rsidR="006A213E" w:rsidRDefault="00000000">
            <w:pPr>
              <w:pStyle w:val="BodyTight"/>
              <w:spacing w:after="0"/>
              <w:jc w:val="center"/>
            </w:pPr>
            <w:r>
              <w:rPr>
                <w:b/>
                <w:color w:val="FFFFFF"/>
                <w:sz w:val="19"/>
              </w:rPr>
              <w:t>Required enforcement</w:t>
            </w:r>
          </w:p>
        </w:tc>
        <w:tc>
          <w:tcPr>
            <w:tcW w:w="2088"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598A550F" w14:textId="77777777" w:rsidR="006A213E" w:rsidRDefault="00000000">
            <w:pPr>
              <w:pStyle w:val="BodyTight"/>
              <w:spacing w:after="0"/>
              <w:jc w:val="center"/>
            </w:pPr>
            <w:r>
              <w:rPr>
                <w:b/>
                <w:color w:val="FFFFFF"/>
                <w:sz w:val="19"/>
              </w:rPr>
              <w:t>Violation response</w:t>
            </w:r>
          </w:p>
        </w:tc>
      </w:tr>
      <w:tr w:rsidR="006A213E" w14:paraId="7A003702" w14:textId="77777777">
        <w:trPr>
          <w:cantSplit/>
          <w:jc w:val="center"/>
        </w:trPr>
        <w:tc>
          <w:tcPr>
            <w:tcW w:w="165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A50D066" w14:textId="77777777" w:rsidR="006A213E" w:rsidRDefault="00000000">
            <w:pPr>
              <w:pStyle w:val="BodyTight"/>
              <w:spacing w:after="0"/>
              <w:jc w:val="center"/>
            </w:pPr>
            <w:r>
              <w:rPr>
                <w:b/>
                <w:sz w:val="18"/>
              </w:rPr>
              <w:t>Finality separation</w:t>
            </w:r>
          </w:p>
        </w:tc>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9578B55" w14:textId="77777777" w:rsidR="006A213E" w:rsidRDefault="00000000">
            <w:pPr>
              <w:pStyle w:val="BodyTight"/>
              <w:spacing w:after="0"/>
            </w:pPr>
            <w:r>
              <w:rPr>
                <w:sz w:val="18"/>
              </w:rPr>
              <w:t>Prevents the DAG from becoming an alternate or ambiguous settlement path.</w:t>
            </w:r>
          </w:p>
        </w:tc>
        <w:tc>
          <w:tcPr>
            <w:tcW w:w="280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E891127" w14:textId="77777777" w:rsidR="006A213E" w:rsidRDefault="00000000">
            <w:pPr>
              <w:pStyle w:val="BodyTight"/>
              <w:spacing w:after="0"/>
            </w:pPr>
            <w:r>
              <w:rPr>
                <w:sz w:val="18"/>
              </w:rPr>
              <w:t>QC remains the only settlement artifact; DAG certificates only prove availability.</w:t>
            </w:r>
          </w:p>
        </w:tc>
        <w:tc>
          <w:tcPr>
            <w:tcW w:w="208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3B63AD68" w14:textId="77777777" w:rsidR="006A213E" w:rsidRDefault="00000000">
            <w:pPr>
              <w:pStyle w:val="BodyTight"/>
              <w:spacing w:after="0"/>
            </w:pPr>
            <w:r>
              <w:rPr>
                <w:sz w:val="18"/>
              </w:rPr>
              <w:t>Reject any design or code path that treats a DAG certificate as finality.</w:t>
            </w:r>
          </w:p>
        </w:tc>
      </w:tr>
      <w:tr w:rsidR="006A213E" w14:paraId="3BB94349" w14:textId="77777777">
        <w:trPr>
          <w:cantSplit/>
          <w:jc w:val="center"/>
        </w:trPr>
        <w:tc>
          <w:tcPr>
            <w:tcW w:w="165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54B4BD2" w14:textId="77777777" w:rsidR="006A213E" w:rsidRDefault="00000000">
            <w:pPr>
              <w:pStyle w:val="BodyTight"/>
              <w:spacing w:after="0"/>
              <w:jc w:val="center"/>
            </w:pPr>
            <w:r>
              <w:rPr>
                <w:b/>
                <w:sz w:val="18"/>
              </w:rPr>
              <w:t>Cluster-local scope</w:t>
            </w:r>
          </w:p>
        </w:tc>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4A8C07B" w14:textId="77777777" w:rsidR="006A213E" w:rsidRDefault="00000000">
            <w:pPr>
              <w:pStyle w:val="BodyTight"/>
              <w:spacing w:after="0"/>
            </w:pPr>
            <w:r>
              <w:rPr>
                <w:sz w:val="18"/>
              </w:rPr>
              <w:t>Limits flood radius and keeps the attack surface aligned to Synergy cluster boundaries.</w:t>
            </w:r>
          </w:p>
        </w:tc>
        <w:tc>
          <w:tcPr>
            <w:tcW w:w="280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38ED1F00" w14:textId="77777777" w:rsidR="006A213E" w:rsidRDefault="00000000">
            <w:pPr>
              <w:pStyle w:val="BodyTight"/>
              <w:spacing w:after="0"/>
            </w:pPr>
            <w:r>
              <w:rPr>
                <w:sz w:val="18"/>
              </w:rPr>
              <w:t>Raw vertices, receipts, and repair traffic remain intra-cluster except for compact checkpoints and evidence exports.</w:t>
            </w:r>
          </w:p>
        </w:tc>
        <w:tc>
          <w:tcPr>
            <w:tcW w:w="208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BCB278D" w14:textId="77777777" w:rsidR="006A213E" w:rsidRDefault="00000000">
            <w:pPr>
              <w:pStyle w:val="BodyTight"/>
              <w:spacing w:after="0"/>
            </w:pPr>
            <w:r>
              <w:rPr>
                <w:sz w:val="18"/>
              </w:rPr>
              <w:t>Drop or quarantine out-of-scope DAG traffic.</w:t>
            </w:r>
          </w:p>
        </w:tc>
      </w:tr>
      <w:tr w:rsidR="006A213E" w14:paraId="6102B6B2" w14:textId="77777777">
        <w:trPr>
          <w:cantSplit/>
          <w:jc w:val="center"/>
        </w:trPr>
        <w:tc>
          <w:tcPr>
            <w:tcW w:w="165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D57131F" w14:textId="77777777" w:rsidR="006A213E" w:rsidRDefault="00000000">
            <w:pPr>
              <w:pStyle w:val="BodyTight"/>
              <w:spacing w:after="0"/>
              <w:jc w:val="center"/>
            </w:pPr>
            <w:r>
              <w:rPr>
                <w:b/>
                <w:sz w:val="18"/>
              </w:rPr>
              <w:t>Availability before ordering</w:t>
            </w:r>
          </w:p>
        </w:tc>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08570AB" w14:textId="77777777" w:rsidR="006A213E" w:rsidRDefault="00000000">
            <w:pPr>
              <w:pStyle w:val="BodyTight"/>
              <w:spacing w:after="0"/>
            </w:pPr>
            <w:r>
              <w:rPr>
                <w:sz w:val="18"/>
              </w:rPr>
              <w:t>Stops unavailable data from influencing canonical state.</w:t>
            </w:r>
          </w:p>
        </w:tc>
        <w:tc>
          <w:tcPr>
            <w:tcW w:w="280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3A4012E2" w14:textId="77777777" w:rsidR="006A213E" w:rsidRDefault="00000000">
            <w:pPr>
              <w:pStyle w:val="BodyTight"/>
              <w:spacing w:after="0"/>
            </w:pPr>
            <w:r>
              <w:rPr>
                <w:sz w:val="18"/>
              </w:rPr>
              <w:t>No vertex may affect an OrderingCut unless it is availability-certified.</w:t>
            </w:r>
          </w:p>
        </w:tc>
        <w:tc>
          <w:tcPr>
            <w:tcW w:w="208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7213BDF" w14:textId="77777777" w:rsidR="006A213E" w:rsidRDefault="00000000">
            <w:pPr>
              <w:pStyle w:val="BodyTight"/>
              <w:spacing w:after="0"/>
            </w:pPr>
            <w:r>
              <w:rPr>
                <w:sz w:val="18"/>
              </w:rPr>
              <w:t>Reject the cut and quarantine the proposer if violated.</w:t>
            </w:r>
          </w:p>
        </w:tc>
      </w:tr>
      <w:tr w:rsidR="006A213E" w14:paraId="004A7C46" w14:textId="77777777">
        <w:trPr>
          <w:cantSplit/>
          <w:jc w:val="center"/>
        </w:trPr>
        <w:tc>
          <w:tcPr>
            <w:tcW w:w="165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027BEF4" w14:textId="77777777" w:rsidR="006A213E" w:rsidRDefault="00000000">
            <w:pPr>
              <w:pStyle w:val="BodyTight"/>
              <w:spacing w:after="0"/>
              <w:jc w:val="center"/>
            </w:pPr>
            <w:r>
              <w:rPr>
                <w:b/>
                <w:sz w:val="18"/>
              </w:rPr>
              <w:t>Deterministic cut</w:t>
            </w:r>
          </w:p>
        </w:tc>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FD56CE2" w14:textId="77777777" w:rsidR="006A213E" w:rsidRDefault="00000000">
            <w:pPr>
              <w:pStyle w:val="BodyTight"/>
              <w:spacing w:after="0"/>
            </w:pPr>
            <w:r>
              <w:rPr>
                <w:sz w:val="18"/>
              </w:rPr>
              <w:t>Prevents local heuristic divergence and hidden ordering games.</w:t>
            </w:r>
          </w:p>
        </w:tc>
        <w:tc>
          <w:tcPr>
            <w:tcW w:w="280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9BEF690" w14:textId="77777777" w:rsidR="006A213E" w:rsidRDefault="00000000">
            <w:pPr>
              <w:pStyle w:val="BodyTight"/>
              <w:spacing w:after="0"/>
            </w:pPr>
            <w:r>
              <w:rPr>
                <w:sz w:val="18"/>
              </w:rPr>
              <w:t>Every validator recomputes the same cut from the same certified frontier.</w:t>
            </w:r>
          </w:p>
        </w:tc>
        <w:tc>
          <w:tcPr>
            <w:tcW w:w="208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3E05D1B2" w14:textId="77777777" w:rsidR="006A213E" w:rsidRDefault="00000000">
            <w:pPr>
              <w:pStyle w:val="BodyTight"/>
              <w:spacing w:after="0"/>
            </w:pPr>
            <w:r>
              <w:rPr>
                <w:sz w:val="18"/>
              </w:rPr>
              <w:t>Vote refusal and slashable evidence on mismatch.</w:t>
            </w:r>
          </w:p>
        </w:tc>
      </w:tr>
      <w:tr w:rsidR="006A213E" w14:paraId="5D559E7D" w14:textId="77777777">
        <w:trPr>
          <w:cantSplit/>
          <w:jc w:val="center"/>
        </w:trPr>
        <w:tc>
          <w:tcPr>
            <w:tcW w:w="165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48E3E67" w14:textId="77777777" w:rsidR="006A213E" w:rsidRDefault="00000000">
            <w:pPr>
              <w:pStyle w:val="BodyTight"/>
              <w:spacing w:after="0"/>
              <w:jc w:val="center"/>
            </w:pPr>
            <w:r>
              <w:rPr>
                <w:b/>
                <w:sz w:val="18"/>
              </w:rPr>
              <w:lastRenderedPageBreak/>
              <w:t>One-author-one-vertex-per-round (beta)</w:t>
            </w:r>
          </w:p>
        </w:tc>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FFCDF5F" w14:textId="77777777" w:rsidR="006A213E" w:rsidRDefault="00000000">
            <w:pPr>
              <w:pStyle w:val="BodyTight"/>
              <w:spacing w:after="0"/>
            </w:pPr>
            <w:r>
              <w:rPr>
                <w:sz w:val="18"/>
              </w:rPr>
              <w:t>Makes equivocation trivial to detect in the first release.</w:t>
            </w:r>
          </w:p>
        </w:tc>
        <w:tc>
          <w:tcPr>
            <w:tcW w:w="280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311FB3B" w14:textId="77777777" w:rsidR="006A213E" w:rsidRDefault="00000000">
            <w:pPr>
              <w:pStyle w:val="BodyTight"/>
              <w:spacing w:after="0"/>
            </w:pPr>
            <w:r>
              <w:rPr>
                <w:sz w:val="18"/>
              </w:rPr>
              <w:t>Author, round, epoch, and previous-author link are mandatory in every vertex.</w:t>
            </w:r>
          </w:p>
        </w:tc>
        <w:tc>
          <w:tcPr>
            <w:tcW w:w="208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3DFD75C" w14:textId="77777777" w:rsidR="006A213E" w:rsidRDefault="00000000">
            <w:pPr>
              <w:pStyle w:val="BodyTight"/>
              <w:spacing w:after="0"/>
            </w:pPr>
            <w:r>
              <w:rPr>
                <w:sz w:val="18"/>
              </w:rPr>
              <w:t>Immediate evidence bundle and penalty pipeline.</w:t>
            </w:r>
          </w:p>
        </w:tc>
      </w:tr>
      <w:tr w:rsidR="006A213E" w14:paraId="28A17CB4" w14:textId="77777777">
        <w:trPr>
          <w:cantSplit/>
          <w:jc w:val="center"/>
        </w:trPr>
        <w:tc>
          <w:tcPr>
            <w:tcW w:w="165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38AE18D9" w14:textId="77777777" w:rsidR="006A213E" w:rsidRDefault="00000000">
            <w:pPr>
              <w:pStyle w:val="BodyTight"/>
              <w:spacing w:after="0"/>
              <w:jc w:val="center"/>
            </w:pPr>
            <w:r>
              <w:rPr>
                <w:b/>
                <w:sz w:val="18"/>
              </w:rPr>
              <w:t>Hard epoch boundary</w:t>
            </w:r>
          </w:p>
        </w:tc>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9FC04D7" w14:textId="77777777" w:rsidR="006A213E" w:rsidRDefault="00000000">
            <w:pPr>
              <w:pStyle w:val="BodyTight"/>
              <w:spacing w:after="0"/>
            </w:pPr>
            <w:r>
              <w:rPr>
                <w:sz w:val="18"/>
              </w:rPr>
              <w:t>Stops replay and stale graph bleed across validator rotations.</w:t>
            </w:r>
          </w:p>
        </w:tc>
        <w:tc>
          <w:tcPr>
            <w:tcW w:w="280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45274F0" w14:textId="77777777" w:rsidR="006A213E" w:rsidRDefault="00000000">
            <w:pPr>
              <w:pStyle w:val="BodyTight"/>
              <w:spacing w:after="0"/>
            </w:pPr>
            <w:r>
              <w:rPr>
                <w:sz w:val="18"/>
              </w:rPr>
              <w:t>Previous-epoch material expires and cannot be silently imported into the next epoch.</w:t>
            </w:r>
          </w:p>
        </w:tc>
        <w:tc>
          <w:tcPr>
            <w:tcW w:w="208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A5CE3F2" w14:textId="77777777" w:rsidR="006A213E" w:rsidRDefault="00000000">
            <w:pPr>
              <w:pStyle w:val="BodyTight"/>
              <w:spacing w:after="0"/>
            </w:pPr>
            <w:r>
              <w:rPr>
                <w:sz w:val="18"/>
              </w:rPr>
              <w:t>Reject, quarantine, and record replay evidence.</w:t>
            </w:r>
          </w:p>
        </w:tc>
      </w:tr>
      <w:tr w:rsidR="006A213E" w14:paraId="782499B6" w14:textId="77777777">
        <w:trPr>
          <w:cantSplit/>
          <w:jc w:val="center"/>
        </w:trPr>
        <w:tc>
          <w:tcPr>
            <w:tcW w:w="165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639CB4C" w14:textId="77777777" w:rsidR="006A213E" w:rsidRDefault="00000000">
            <w:pPr>
              <w:pStyle w:val="BodyTight"/>
              <w:spacing w:after="0"/>
              <w:jc w:val="center"/>
            </w:pPr>
            <w:r>
              <w:rPr>
                <w:b/>
                <w:sz w:val="18"/>
              </w:rPr>
              <w:t>Timestamp is advisory only</w:t>
            </w:r>
          </w:p>
        </w:tc>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2390E83" w14:textId="77777777" w:rsidR="006A213E" w:rsidRDefault="00000000">
            <w:pPr>
              <w:pStyle w:val="BodyTight"/>
              <w:spacing w:after="0"/>
            </w:pPr>
            <w:r>
              <w:rPr>
                <w:sz w:val="18"/>
              </w:rPr>
              <w:t>Removes wall-clock manipulation from core ordering logic.</w:t>
            </w:r>
          </w:p>
        </w:tc>
        <w:tc>
          <w:tcPr>
            <w:tcW w:w="280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61EE5A48" w14:textId="77777777" w:rsidR="006A213E" w:rsidRDefault="00000000">
            <w:pPr>
              <w:pStyle w:val="BodyTight"/>
              <w:spacing w:after="0"/>
            </w:pPr>
            <w:r>
              <w:rPr>
                <w:sz w:val="18"/>
              </w:rPr>
              <w:t>Timestamps are bounded metadata; they are never the primary tie-breaker.</w:t>
            </w:r>
          </w:p>
        </w:tc>
        <w:tc>
          <w:tcPr>
            <w:tcW w:w="208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00A59D2" w14:textId="77777777" w:rsidR="006A213E" w:rsidRDefault="00000000">
            <w:pPr>
              <w:pStyle w:val="BodyTight"/>
              <w:spacing w:after="0"/>
            </w:pPr>
            <w:r>
              <w:rPr>
                <w:sz w:val="18"/>
              </w:rPr>
              <w:t>Ignore skewed timestamps and flag persistent offenders.</w:t>
            </w:r>
          </w:p>
        </w:tc>
      </w:tr>
      <w:tr w:rsidR="006A213E" w14:paraId="5F407281" w14:textId="77777777">
        <w:trPr>
          <w:cantSplit/>
          <w:jc w:val="center"/>
        </w:trPr>
        <w:tc>
          <w:tcPr>
            <w:tcW w:w="165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F29E5D0" w14:textId="77777777" w:rsidR="006A213E" w:rsidRDefault="00000000">
            <w:pPr>
              <w:pStyle w:val="BodyTight"/>
              <w:spacing w:after="0"/>
              <w:jc w:val="center"/>
            </w:pPr>
            <w:r>
              <w:rPr>
                <w:b/>
                <w:sz w:val="18"/>
              </w:rPr>
              <w:t>Separate DAG store</w:t>
            </w:r>
          </w:p>
        </w:tc>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562186D" w14:textId="77777777" w:rsidR="006A213E" w:rsidRDefault="00000000">
            <w:pPr>
              <w:pStyle w:val="BodyTight"/>
              <w:spacing w:after="0"/>
            </w:pPr>
            <w:r>
              <w:rPr>
                <w:sz w:val="18"/>
              </w:rPr>
              <w:t>Protects recovery, pruning discipline, and forensic retention.</w:t>
            </w:r>
          </w:p>
        </w:tc>
        <w:tc>
          <w:tcPr>
            <w:tcW w:w="280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F5012D2" w14:textId="77777777" w:rsidR="006A213E" w:rsidRDefault="00000000">
            <w:pPr>
              <w:pStyle w:val="BodyTight"/>
              <w:spacing w:after="0"/>
            </w:pPr>
            <w:r>
              <w:rPr>
                <w:sz w:val="18"/>
              </w:rPr>
              <w:t>DAG objects, blobs, receipts, and evidence are stored separately from canonical chain state.</w:t>
            </w:r>
          </w:p>
        </w:tc>
        <w:tc>
          <w:tcPr>
            <w:tcW w:w="208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DEEDA7B" w14:textId="77777777" w:rsidR="006A213E" w:rsidRDefault="00000000">
            <w:pPr>
              <w:pStyle w:val="BodyTight"/>
              <w:spacing w:after="0"/>
            </w:pPr>
            <w:r>
              <w:rPr>
                <w:sz w:val="18"/>
              </w:rPr>
              <w:t>Freeze pruning and require archive review if storage invariants fail.</w:t>
            </w:r>
          </w:p>
        </w:tc>
      </w:tr>
      <w:tr w:rsidR="006A213E" w14:paraId="705DD411" w14:textId="77777777">
        <w:trPr>
          <w:cantSplit/>
          <w:jc w:val="center"/>
        </w:trPr>
        <w:tc>
          <w:tcPr>
            <w:tcW w:w="165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675A630" w14:textId="77777777" w:rsidR="006A213E" w:rsidRDefault="00000000">
            <w:pPr>
              <w:pStyle w:val="BodyTight"/>
              <w:spacing w:after="0"/>
              <w:jc w:val="center"/>
            </w:pPr>
            <w:r>
              <w:rPr>
                <w:b/>
                <w:sz w:val="18"/>
              </w:rPr>
              <w:t>Retention before pruning</w:t>
            </w:r>
          </w:p>
        </w:tc>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A756BC9" w14:textId="77777777" w:rsidR="006A213E" w:rsidRDefault="00000000">
            <w:pPr>
              <w:pStyle w:val="BodyTight"/>
              <w:spacing w:after="0"/>
            </w:pPr>
            <w:r>
              <w:rPr>
                <w:sz w:val="18"/>
              </w:rPr>
              <w:t>Prevents destruction of slashable or reconstructive evidence.</w:t>
            </w:r>
          </w:p>
        </w:tc>
        <w:tc>
          <w:tcPr>
            <w:tcW w:w="280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5B4CA85" w14:textId="77777777" w:rsidR="006A213E" w:rsidRDefault="00000000">
            <w:pPr>
              <w:pStyle w:val="BodyTight"/>
              <w:spacing w:after="0"/>
            </w:pPr>
            <w:r>
              <w:rPr>
                <w:sz w:val="18"/>
              </w:rPr>
              <w:t>Pruning requires finalized checkpoint lineage, retention expiry, and archive acknowledgement.</w:t>
            </w:r>
          </w:p>
        </w:tc>
        <w:tc>
          <w:tcPr>
            <w:tcW w:w="208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33CA3B9D" w14:textId="77777777" w:rsidR="006A213E" w:rsidRDefault="00000000">
            <w:pPr>
              <w:pStyle w:val="BodyTight"/>
              <w:spacing w:after="0"/>
            </w:pPr>
            <w:r>
              <w:rPr>
                <w:sz w:val="18"/>
              </w:rPr>
              <w:t>Abort pruning and emit operator alert.</w:t>
            </w:r>
          </w:p>
        </w:tc>
      </w:tr>
      <w:tr w:rsidR="006A213E" w14:paraId="497C8A24" w14:textId="77777777">
        <w:trPr>
          <w:cantSplit/>
          <w:jc w:val="center"/>
        </w:trPr>
        <w:tc>
          <w:tcPr>
            <w:tcW w:w="165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A9D8ECE" w14:textId="77777777" w:rsidR="006A213E" w:rsidRDefault="00000000">
            <w:pPr>
              <w:pStyle w:val="BodyTight"/>
              <w:spacing w:after="0"/>
              <w:jc w:val="center"/>
            </w:pPr>
            <w:r>
              <w:rPr>
                <w:b/>
                <w:sz w:val="18"/>
              </w:rPr>
              <w:t>Fail-closed quarantine</w:t>
            </w:r>
          </w:p>
        </w:tc>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97C4DA0" w14:textId="77777777" w:rsidR="006A213E" w:rsidRDefault="00000000">
            <w:pPr>
              <w:pStyle w:val="BodyTight"/>
              <w:spacing w:after="0"/>
            </w:pPr>
            <w:r>
              <w:rPr>
                <w:sz w:val="18"/>
              </w:rPr>
              <w:t>Safety matters more than optimistic throughput.</w:t>
            </w:r>
          </w:p>
        </w:tc>
        <w:tc>
          <w:tcPr>
            <w:tcW w:w="280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0BAD654" w14:textId="77777777" w:rsidR="006A213E" w:rsidRDefault="00000000">
            <w:pPr>
              <w:pStyle w:val="BodyTight"/>
              <w:spacing w:after="0"/>
            </w:pPr>
            <w:r>
              <w:rPr>
                <w:sz w:val="18"/>
              </w:rPr>
              <w:t>Validators enter quarantine or safe fallback if DAG consistency cannot be proved.</w:t>
            </w:r>
          </w:p>
        </w:tc>
        <w:tc>
          <w:tcPr>
            <w:tcW w:w="208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ABD413C" w14:textId="77777777" w:rsidR="006A213E" w:rsidRDefault="00000000">
            <w:pPr>
              <w:pStyle w:val="BodyTight"/>
              <w:spacing w:after="0"/>
            </w:pPr>
            <w:r>
              <w:rPr>
                <w:sz w:val="18"/>
              </w:rPr>
              <w:t>Stop DAG-influenced ordering rather than continue under uncertainty.</w:t>
            </w:r>
          </w:p>
        </w:tc>
      </w:tr>
    </w:tbl>
    <w:p w14:paraId="49CC5DC5" w14:textId="77777777" w:rsidR="006A213E" w:rsidRDefault="00000000">
      <w:r>
        <w:br w:type="page"/>
      </w:r>
    </w:p>
    <w:p w14:paraId="40362E7A" w14:textId="77777777" w:rsidR="006A213E" w:rsidRDefault="00000000">
      <w:pPr>
        <w:pStyle w:val="Heading1"/>
      </w:pPr>
      <w:r>
        <w:rPr>
          <w:rFonts w:ascii="Arial" w:eastAsia="Arial" w:hAnsi="Arial"/>
        </w:rPr>
        <w:lastRenderedPageBreak/>
        <w:t>Attack Category 15: Cluster-Local DAG Dissemination and Availability Attacks</w:t>
      </w:r>
    </w:p>
    <w:p w14:paraId="79A1C4F9" w14:textId="77777777" w:rsidR="006A213E" w:rsidRDefault="00000000">
      <w:pPr>
        <w:pStyle w:val="Heading3"/>
      </w:pPr>
      <w:r>
        <w:rPr>
          <w:rFonts w:ascii="Arial" w:eastAsia="Arial" w:hAnsi="Arial"/>
        </w:rPr>
        <w:t>15.1 Threat Description</w:t>
      </w:r>
    </w:p>
    <w:p w14:paraId="4E0E8FAC" w14:textId="77777777" w:rsidR="006A213E" w:rsidRDefault="00000000">
      <w:r>
        <w:t>The first DAG-specific danger is believing data exists when it does not. That danger appears in several forms: a validator issues a receipt before it has actually persisted a batch; an author broadcasts a vertex but withholds the encrypted batch blob from a subset of peers; a clique of validators acknowledges only one another and starves the broader frontier; or an attacker saturates peers with low-value vertices, missing-parent references, and fetch pressure until honest nodes cannot maintain a coherent certified frontier. In all of those cases the graph may look healthy on paper while the underlying data plane is rotten.</w:t>
      </w:r>
    </w:p>
    <w:p w14:paraId="1FAAA60F" w14:textId="77777777" w:rsidR="006A213E" w:rsidRDefault="00000000">
      <w:r>
        <w:t>Synergy must also assume adversaries will try to manipulate parent selection and frontier shape. Even where Synergy does not use a public tip-selection algorithm, theoretical DAG attacks such as lazy-tip behavior, parasite-chain-style attachment strategies, and subgraph isolation still matter in adapted form. In a cluster-local setting they show up as clique parents, omission of broadly available parents, selective relay, and deliberately fragmented frontiers that bias ordering opportunities or make honest nodes disagree about which vertices are safe to include.</w:t>
      </w:r>
    </w:p>
    <w:p w14:paraId="70B1487D" w14:textId="77777777" w:rsidR="006A213E" w:rsidRDefault="00000000">
      <w:r>
        <w:t>Finally, availability failures and spam failures interact. A batch-withholding attacker wants honest validators to waste memory, fetch bandwidth, and certificate slots on objects that can never become safely orderable. A spam attacker wants the admission queue itself to become the vulnerability. The countermeasure is not one knob; it is a stack: strict receipt semantics, per-peer budgets, author discipline, parent-diversity rules, authenticated cluster scoping, and encryption-backed blob commitments.</w:t>
      </w:r>
    </w:p>
    <w:p w14:paraId="5C36E8B5" w14:textId="77777777" w:rsidR="006A213E" w:rsidRDefault="00000000">
      <w:pPr>
        <w:pStyle w:val="Heading3"/>
      </w:pPr>
      <w:r>
        <w:rPr>
          <w:rFonts w:ascii="Arial" w:eastAsia="Arial" w:hAnsi="Arial"/>
        </w:rPr>
        <w:t>15.2 Synergy Implementation: Mandatory Availability Certification, Bounded Gossip, and Cluster-Scoped Transport</w:t>
      </w:r>
    </w:p>
    <w:p w14:paraId="418A46FD" w14:textId="77777777" w:rsidR="006A213E" w:rsidRDefault="00000000">
      <w:r>
        <w:t>Synergy shall treat an AvailabilityReceipt as a claim that is expensive to earn and easy to falsify after the fact. A validator may issue a receipt only after it has fetched the full encrypted batch or blob reference set, verified the commitment, written the artifact durably to the local DAG store, and confirmed that the blob is retrievable for the retention window that applies to uncertified and certified objects. Receipt issuance before durable possession is prohibited. So is speculative receipt issuance based on trust or cached author reputation.</w:t>
      </w:r>
    </w:p>
    <w:p w14:paraId="70D22C94" w14:textId="77777777" w:rsidR="006A213E" w:rsidRDefault="00000000">
      <w:r>
        <w:t>DagCertificate formation is count-thresholded in beta. The natural first-release rule for a cluster of seven is five distinct receipts, i.e. 2f+1. The point is practical: the data plane must not become economically brittle or dependent on Synergy Score weighting merely to prove existence. Synergy Score remains in the finality path, not in the existence path. A vertex exists for ordering only when availability certification proves that enough distinct validators can actually retrieve the data.</w:t>
      </w:r>
    </w:p>
    <w:p w14:paraId="4A050D58" w14:textId="77777777" w:rsidR="006A213E" w:rsidRDefault="00000000">
      <w:r>
        <w:t>Transport is cluster-scoped and authenticated. DAG message families are admitted only from peers that have completed the validator handshake, expose the correct capability flags, and map to the same active cluster membership for the current epoch. Peer budgets are separated by message family so that vertex floods cannot starve QC, checkpoint, or evidence channels. Parent selection must also satisfy a diversity floor: when broader parent availability exists, a vertex that references only a clique of authors is non-compliant and may be rejected or deprioritized.</w:t>
      </w:r>
    </w:p>
    <w:p w14:paraId="3EDDD23E" w14:textId="77777777" w:rsidR="006A213E" w:rsidRDefault="00000000">
      <w:r>
        <w:t>Encrypted batches are required unless governance explicitly places the network into a controlled fallback profile. The DAG must not reopen the very MEV and pre-trade leakage surface the base Synergy design intends to close. Public RPC surfaces never expose raw batch payloads, and even validator-private fetch interfaces are limited to authenticated cluster peers, archive roles, and designated audit roles.</w:t>
      </w:r>
    </w:p>
    <w:p w14:paraId="5ED7763A" w14:textId="77777777" w:rsidR="006A213E" w:rsidRDefault="00000000">
      <w:pPr>
        <w:pStyle w:val="Heading3"/>
      </w:pPr>
      <w:r>
        <w:rPr>
          <w:rFonts w:ascii="Arial" w:eastAsia="Arial" w:hAnsi="Arial"/>
        </w:rPr>
        <w:lastRenderedPageBreak/>
        <w:t>15.3 Implementation Steps</w:t>
      </w:r>
    </w:p>
    <w:tbl>
      <w:tblPr>
        <w:tblW w:w="0" w:type="auto"/>
        <w:jc w:val="center"/>
        <w:tblLayout w:type="fixed"/>
        <w:tblLook w:val="04A0" w:firstRow="1" w:lastRow="0" w:firstColumn="1" w:lastColumn="0" w:noHBand="0" w:noVBand="1"/>
      </w:tblPr>
      <w:tblGrid>
        <w:gridCol w:w="691"/>
        <w:gridCol w:w="1843"/>
        <w:gridCol w:w="3671"/>
        <w:gridCol w:w="2577"/>
      </w:tblGrid>
      <w:tr w:rsidR="006A213E" w14:paraId="3200DE48" w14:textId="77777777">
        <w:trPr>
          <w:cantSplit/>
          <w:tblHeader/>
          <w:jc w:val="center"/>
        </w:trPr>
        <w:tc>
          <w:tcPr>
            <w:tcW w:w="691"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0ADF89E2" w14:textId="77777777" w:rsidR="006A213E" w:rsidRDefault="00000000">
            <w:pPr>
              <w:pStyle w:val="BodyTight"/>
              <w:spacing w:after="0"/>
              <w:jc w:val="center"/>
            </w:pPr>
            <w:r>
              <w:rPr>
                <w:b/>
                <w:color w:val="FFFFFF"/>
                <w:sz w:val="19"/>
              </w:rPr>
              <w:t>Step</w:t>
            </w:r>
          </w:p>
        </w:tc>
        <w:tc>
          <w:tcPr>
            <w:tcW w:w="1843"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3CB94B6A" w14:textId="77777777" w:rsidR="006A213E" w:rsidRDefault="00000000">
            <w:pPr>
              <w:pStyle w:val="BodyTight"/>
              <w:spacing w:after="0"/>
              <w:jc w:val="center"/>
            </w:pPr>
            <w:r>
              <w:rPr>
                <w:b/>
                <w:color w:val="FFFFFF"/>
                <w:sz w:val="19"/>
              </w:rPr>
              <w:t>Action</w:t>
            </w:r>
          </w:p>
        </w:tc>
        <w:tc>
          <w:tcPr>
            <w:tcW w:w="3671"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2B8EF0B5" w14:textId="77777777" w:rsidR="006A213E" w:rsidRDefault="00000000">
            <w:pPr>
              <w:pStyle w:val="BodyTight"/>
              <w:spacing w:after="0"/>
              <w:jc w:val="center"/>
            </w:pPr>
            <w:r>
              <w:rPr>
                <w:b/>
                <w:color w:val="FFFFFF"/>
                <w:sz w:val="19"/>
              </w:rPr>
              <w:t>Implementation detail</w:t>
            </w:r>
          </w:p>
        </w:tc>
        <w:tc>
          <w:tcPr>
            <w:tcW w:w="2577"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25B5295F" w14:textId="77777777" w:rsidR="006A213E" w:rsidRDefault="00000000">
            <w:pPr>
              <w:pStyle w:val="BodyTight"/>
              <w:spacing w:after="0"/>
              <w:jc w:val="center"/>
            </w:pPr>
            <w:r>
              <w:rPr>
                <w:b/>
                <w:color w:val="FFFFFF"/>
                <w:sz w:val="19"/>
              </w:rPr>
              <w:t>Verification gate</w:t>
            </w:r>
          </w:p>
        </w:tc>
      </w:tr>
      <w:tr w:rsidR="006A213E" w14:paraId="570957B3"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665C2F8B" w14:textId="77777777" w:rsidR="006A213E" w:rsidRDefault="00000000">
            <w:pPr>
              <w:pStyle w:val="BodyTight"/>
              <w:spacing w:after="0"/>
              <w:jc w:val="center"/>
            </w:pPr>
            <w:r>
              <w:rPr>
                <w:b/>
                <w:sz w:val="18"/>
              </w:rPr>
              <w:t>1</w:t>
            </w:r>
          </w:p>
        </w:tc>
        <w:tc>
          <w:tcPr>
            <w:tcW w:w="1843"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998DAF5" w14:textId="77777777" w:rsidR="006A213E" w:rsidRDefault="00000000">
            <w:pPr>
              <w:pStyle w:val="BodyTight"/>
              <w:spacing w:after="0"/>
            </w:pPr>
            <w:r>
              <w:rPr>
                <w:sz w:val="18"/>
              </w:rPr>
              <w:t>Define hard DAG object schemas</w:t>
            </w:r>
          </w:p>
        </w:tc>
        <w:tc>
          <w:tcPr>
            <w:tcW w:w="367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814E5AE" w14:textId="77777777" w:rsidR="006A213E" w:rsidRDefault="00000000">
            <w:pPr>
              <w:pStyle w:val="BodyTight"/>
              <w:spacing w:after="0"/>
            </w:pPr>
            <w:r>
              <w:rPr>
                <w:sz w:val="18"/>
              </w:rPr>
              <w:t>Vertex, receipt, certificate, batch-blob reference, and missing-parent request objects must all bind epoch, cluster, round, author identity, sequence number, and typed commitments.</w:t>
            </w:r>
          </w:p>
        </w:tc>
        <w:tc>
          <w:tcPr>
            <w:tcW w:w="2577"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4BC4E01" w14:textId="77777777" w:rsidR="006A213E" w:rsidRDefault="00000000">
            <w:pPr>
              <w:pStyle w:val="BodyTight"/>
              <w:spacing w:after="0"/>
            </w:pPr>
            <w:r>
              <w:rPr>
                <w:sz w:val="18"/>
              </w:rPr>
              <w:t>Schema test vectors must round-trip identically across independent implementations.</w:t>
            </w:r>
          </w:p>
        </w:tc>
      </w:tr>
      <w:tr w:rsidR="006A213E" w14:paraId="3FA44447"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C7657FA" w14:textId="77777777" w:rsidR="006A213E" w:rsidRDefault="00000000">
            <w:pPr>
              <w:pStyle w:val="BodyTight"/>
              <w:spacing w:after="0"/>
              <w:jc w:val="center"/>
            </w:pPr>
            <w:r>
              <w:rPr>
                <w:b/>
                <w:sz w:val="18"/>
              </w:rPr>
              <w:t>2</w:t>
            </w:r>
          </w:p>
        </w:tc>
        <w:tc>
          <w:tcPr>
            <w:tcW w:w="1843"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319E585" w14:textId="77777777" w:rsidR="006A213E" w:rsidRDefault="00000000">
            <w:pPr>
              <w:pStyle w:val="BodyTight"/>
              <w:spacing w:after="0"/>
            </w:pPr>
            <w:r>
              <w:rPr>
                <w:sz w:val="18"/>
              </w:rPr>
              <w:t>Enforce durable receipt preconditions</w:t>
            </w:r>
          </w:p>
        </w:tc>
        <w:tc>
          <w:tcPr>
            <w:tcW w:w="367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386CEAD" w14:textId="77777777" w:rsidR="006A213E" w:rsidRDefault="00000000">
            <w:pPr>
              <w:pStyle w:val="BodyTight"/>
              <w:spacing w:after="0"/>
            </w:pPr>
            <w:r>
              <w:rPr>
                <w:sz w:val="18"/>
              </w:rPr>
              <w:t>Receipt issuance path must verify fetch, checksum, durable write, and local retrieval before signing.</w:t>
            </w:r>
          </w:p>
        </w:tc>
        <w:tc>
          <w:tcPr>
            <w:tcW w:w="2577"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35B36E89" w14:textId="77777777" w:rsidR="006A213E" w:rsidRDefault="00000000">
            <w:pPr>
              <w:pStyle w:val="BodyTight"/>
              <w:spacing w:after="0"/>
            </w:pPr>
            <w:r>
              <w:rPr>
                <w:sz w:val="18"/>
              </w:rPr>
              <w:t>Any receipt emitted before durable persistence is treated as a critical protocol bug.</w:t>
            </w:r>
          </w:p>
        </w:tc>
      </w:tr>
      <w:tr w:rsidR="006A213E" w14:paraId="29D03291"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BDC2EB6" w14:textId="77777777" w:rsidR="006A213E" w:rsidRDefault="00000000">
            <w:pPr>
              <w:pStyle w:val="BodyTight"/>
              <w:spacing w:after="0"/>
              <w:jc w:val="center"/>
            </w:pPr>
            <w:r>
              <w:rPr>
                <w:b/>
                <w:sz w:val="18"/>
              </w:rPr>
              <w:t>3</w:t>
            </w:r>
          </w:p>
        </w:tc>
        <w:tc>
          <w:tcPr>
            <w:tcW w:w="1843"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68F8CA91" w14:textId="77777777" w:rsidR="006A213E" w:rsidRDefault="00000000">
            <w:pPr>
              <w:pStyle w:val="BodyTight"/>
              <w:spacing w:after="0"/>
            </w:pPr>
            <w:r>
              <w:rPr>
                <w:sz w:val="18"/>
              </w:rPr>
              <w:t>Implement 2f+1 certification</w:t>
            </w:r>
          </w:p>
        </w:tc>
        <w:tc>
          <w:tcPr>
            <w:tcW w:w="367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B7FFD56" w14:textId="77777777" w:rsidR="006A213E" w:rsidRDefault="00000000">
            <w:pPr>
              <w:pStyle w:val="BodyTight"/>
              <w:spacing w:after="0"/>
            </w:pPr>
            <w:r>
              <w:rPr>
                <w:sz w:val="18"/>
              </w:rPr>
              <w:t>Certificate aggregation must reject duplicate signers, stale epochs, wrong-cluster signers, and invalid bitmaps.</w:t>
            </w:r>
          </w:p>
        </w:tc>
        <w:tc>
          <w:tcPr>
            <w:tcW w:w="2577"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68268BDB" w14:textId="77777777" w:rsidR="006A213E" w:rsidRDefault="00000000">
            <w:pPr>
              <w:pStyle w:val="BodyTight"/>
              <w:spacing w:after="0"/>
            </w:pPr>
            <w:r>
              <w:rPr>
                <w:sz w:val="18"/>
              </w:rPr>
              <w:t>Malformed signer sets must fail certificate verification on every node.</w:t>
            </w:r>
          </w:p>
        </w:tc>
      </w:tr>
      <w:tr w:rsidR="006A213E" w14:paraId="7D177A1B"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3330AEA2" w14:textId="77777777" w:rsidR="006A213E" w:rsidRDefault="00000000">
            <w:pPr>
              <w:pStyle w:val="BodyTight"/>
              <w:spacing w:after="0"/>
              <w:jc w:val="center"/>
            </w:pPr>
            <w:r>
              <w:rPr>
                <w:b/>
                <w:sz w:val="18"/>
              </w:rPr>
              <w:t>4</w:t>
            </w:r>
          </w:p>
        </w:tc>
        <w:tc>
          <w:tcPr>
            <w:tcW w:w="1843"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DA83B0A" w14:textId="77777777" w:rsidR="006A213E" w:rsidRDefault="00000000">
            <w:pPr>
              <w:pStyle w:val="BodyTight"/>
              <w:spacing w:after="0"/>
            </w:pPr>
            <w:r>
              <w:rPr>
                <w:sz w:val="18"/>
              </w:rPr>
              <w:t>Add parent-diversity rules</w:t>
            </w:r>
          </w:p>
        </w:tc>
        <w:tc>
          <w:tcPr>
            <w:tcW w:w="367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9EDE5B1" w14:textId="77777777" w:rsidR="006A213E" w:rsidRDefault="00000000">
            <w:pPr>
              <w:pStyle w:val="BodyTight"/>
              <w:spacing w:after="0"/>
            </w:pPr>
            <w:r>
              <w:rPr>
                <w:sz w:val="18"/>
              </w:rPr>
              <w:t>Beta policy should require parents from distinct authors where available and should reject clique-only parent sets absent a documented network-failure exception.</w:t>
            </w:r>
          </w:p>
        </w:tc>
        <w:tc>
          <w:tcPr>
            <w:tcW w:w="2577"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691A944" w14:textId="77777777" w:rsidR="006A213E" w:rsidRDefault="00000000">
            <w:pPr>
              <w:pStyle w:val="BodyTight"/>
              <w:spacing w:after="0"/>
            </w:pPr>
            <w:r>
              <w:rPr>
                <w:sz w:val="18"/>
              </w:rPr>
              <w:t>Frontier simulation must prove that clique references are detected and surfaced.</w:t>
            </w:r>
          </w:p>
        </w:tc>
      </w:tr>
      <w:tr w:rsidR="006A213E" w14:paraId="611176B3"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8B446F0" w14:textId="77777777" w:rsidR="006A213E" w:rsidRDefault="00000000">
            <w:pPr>
              <w:pStyle w:val="BodyTight"/>
              <w:spacing w:after="0"/>
              <w:jc w:val="center"/>
            </w:pPr>
            <w:r>
              <w:rPr>
                <w:b/>
                <w:sz w:val="18"/>
              </w:rPr>
              <w:t>5</w:t>
            </w:r>
          </w:p>
        </w:tc>
        <w:tc>
          <w:tcPr>
            <w:tcW w:w="1843"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71212AC" w14:textId="77777777" w:rsidR="006A213E" w:rsidRDefault="00000000">
            <w:pPr>
              <w:pStyle w:val="BodyTight"/>
              <w:spacing w:after="0"/>
            </w:pPr>
            <w:r>
              <w:rPr>
                <w:sz w:val="18"/>
              </w:rPr>
              <w:t>Separate peer budgets by DAG family</w:t>
            </w:r>
          </w:p>
        </w:tc>
        <w:tc>
          <w:tcPr>
            <w:tcW w:w="367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B630DC6" w14:textId="77777777" w:rsidR="006A213E" w:rsidRDefault="00000000">
            <w:pPr>
              <w:pStyle w:val="BodyTight"/>
              <w:spacing w:after="0"/>
            </w:pPr>
            <w:r>
              <w:rPr>
                <w:sz w:val="18"/>
              </w:rPr>
              <w:t>Vertices, receipts, certificates, fetches, and evidence each receive their own byte and queue budgets.</w:t>
            </w:r>
          </w:p>
        </w:tc>
        <w:tc>
          <w:tcPr>
            <w:tcW w:w="2577"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214551A" w14:textId="77777777" w:rsidR="006A213E" w:rsidRDefault="00000000">
            <w:pPr>
              <w:pStyle w:val="BodyTight"/>
              <w:spacing w:after="0"/>
            </w:pPr>
            <w:r>
              <w:rPr>
                <w:sz w:val="18"/>
              </w:rPr>
              <w:t>Flooding one family must not starve QC, status, or checkpoint traffic.</w:t>
            </w:r>
          </w:p>
        </w:tc>
      </w:tr>
      <w:tr w:rsidR="006A213E" w14:paraId="14188B1E"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60389F7" w14:textId="77777777" w:rsidR="006A213E" w:rsidRDefault="00000000">
            <w:pPr>
              <w:pStyle w:val="BodyTight"/>
              <w:spacing w:after="0"/>
              <w:jc w:val="center"/>
            </w:pPr>
            <w:r>
              <w:rPr>
                <w:b/>
                <w:sz w:val="18"/>
              </w:rPr>
              <w:t>6</w:t>
            </w:r>
          </w:p>
        </w:tc>
        <w:tc>
          <w:tcPr>
            <w:tcW w:w="1843"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0D0D0E1" w14:textId="77777777" w:rsidR="006A213E" w:rsidRDefault="00000000">
            <w:pPr>
              <w:pStyle w:val="BodyTight"/>
              <w:spacing w:after="0"/>
            </w:pPr>
            <w:r>
              <w:rPr>
                <w:sz w:val="18"/>
              </w:rPr>
              <w:t>Cluster-authenticate DAG transport</w:t>
            </w:r>
          </w:p>
        </w:tc>
        <w:tc>
          <w:tcPr>
            <w:tcW w:w="367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5E9FCDC" w14:textId="77777777" w:rsidR="006A213E" w:rsidRDefault="00000000">
            <w:pPr>
              <w:pStyle w:val="BodyTight"/>
              <w:spacing w:after="0"/>
            </w:pPr>
            <w:r>
              <w:rPr>
                <w:sz w:val="18"/>
              </w:rPr>
              <w:t>Handshake and capability negotiation must carry validator identity and active cluster eligibility for the epoch.</w:t>
            </w:r>
          </w:p>
        </w:tc>
        <w:tc>
          <w:tcPr>
            <w:tcW w:w="2577"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C967BCF" w14:textId="77777777" w:rsidR="006A213E" w:rsidRDefault="00000000">
            <w:pPr>
              <w:pStyle w:val="BodyTight"/>
              <w:spacing w:after="0"/>
            </w:pPr>
            <w:r>
              <w:rPr>
                <w:sz w:val="18"/>
              </w:rPr>
              <w:t>Cross-cluster raw DAG traffic must be dropped or downgraded to evidence.</w:t>
            </w:r>
          </w:p>
        </w:tc>
      </w:tr>
      <w:tr w:rsidR="006A213E" w14:paraId="0D9E9AEA"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C9DCC5A" w14:textId="77777777" w:rsidR="006A213E" w:rsidRDefault="00000000">
            <w:pPr>
              <w:pStyle w:val="BodyTight"/>
              <w:spacing w:after="0"/>
              <w:jc w:val="center"/>
            </w:pPr>
            <w:r>
              <w:rPr>
                <w:b/>
                <w:sz w:val="18"/>
              </w:rPr>
              <w:t>7</w:t>
            </w:r>
          </w:p>
        </w:tc>
        <w:tc>
          <w:tcPr>
            <w:tcW w:w="1843"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CB552FE" w14:textId="77777777" w:rsidR="006A213E" w:rsidRDefault="00000000">
            <w:pPr>
              <w:pStyle w:val="BodyTight"/>
              <w:spacing w:after="0"/>
            </w:pPr>
            <w:r>
              <w:rPr>
                <w:sz w:val="18"/>
              </w:rPr>
              <w:t>Bind encrypted batch storage to DAG store</w:t>
            </w:r>
          </w:p>
        </w:tc>
        <w:tc>
          <w:tcPr>
            <w:tcW w:w="367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33D99E2" w14:textId="77777777" w:rsidR="006A213E" w:rsidRDefault="00000000">
            <w:pPr>
              <w:pStyle w:val="BodyTight"/>
              <w:spacing w:after="0"/>
            </w:pPr>
            <w:r>
              <w:rPr>
                <w:sz w:val="18"/>
              </w:rPr>
              <w:t>Blob references, checksums, retention timers, and retrieval counters must live in a DAG-specific store separate from chain state.</w:t>
            </w:r>
          </w:p>
        </w:tc>
        <w:tc>
          <w:tcPr>
            <w:tcW w:w="2577"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D457B79" w14:textId="77777777" w:rsidR="006A213E" w:rsidRDefault="00000000">
            <w:pPr>
              <w:pStyle w:val="BodyTight"/>
              <w:spacing w:after="0"/>
            </w:pPr>
            <w:r>
              <w:rPr>
                <w:sz w:val="18"/>
              </w:rPr>
              <w:t>Recovery testing must reconstruct the frontier without mutating canonical chain state.</w:t>
            </w:r>
          </w:p>
        </w:tc>
      </w:tr>
      <w:tr w:rsidR="006A213E" w14:paraId="6CA67BB2"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8A9C133" w14:textId="77777777" w:rsidR="006A213E" w:rsidRDefault="00000000">
            <w:pPr>
              <w:pStyle w:val="BodyTight"/>
              <w:spacing w:after="0"/>
              <w:jc w:val="center"/>
            </w:pPr>
            <w:r>
              <w:rPr>
                <w:b/>
                <w:sz w:val="18"/>
              </w:rPr>
              <w:t>8</w:t>
            </w:r>
          </w:p>
        </w:tc>
        <w:tc>
          <w:tcPr>
            <w:tcW w:w="1843"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365923A" w14:textId="77777777" w:rsidR="006A213E" w:rsidRDefault="00000000">
            <w:pPr>
              <w:pStyle w:val="BodyTight"/>
              <w:spacing w:after="0"/>
            </w:pPr>
            <w:r>
              <w:rPr>
                <w:sz w:val="18"/>
              </w:rPr>
              <w:t>Wire penalties and quarantine</w:t>
            </w:r>
          </w:p>
        </w:tc>
        <w:tc>
          <w:tcPr>
            <w:tcW w:w="367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AA7869A" w14:textId="77777777" w:rsidR="006A213E" w:rsidRDefault="00000000">
            <w:pPr>
              <w:pStyle w:val="BodyTight"/>
              <w:spacing w:after="0"/>
            </w:pPr>
            <w:r>
              <w:rPr>
                <w:sz w:val="18"/>
              </w:rPr>
              <w:t>False receipt issuance, chronic withholding, or spam abuse must trigger Synergy Score penalties, validator status changes, and evidence export.</w:t>
            </w:r>
          </w:p>
        </w:tc>
        <w:tc>
          <w:tcPr>
            <w:tcW w:w="2577"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7E37904" w14:textId="77777777" w:rsidR="006A213E" w:rsidRDefault="00000000">
            <w:pPr>
              <w:pStyle w:val="BodyTight"/>
              <w:spacing w:after="0"/>
            </w:pPr>
            <w:r>
              <w:rPr>
                <w:sz w:val="18"/>
              </w:rPr>
              <w:t>End-to-end penalty flow must complete without operator hand-editing.</w:t>
            </w:r>
          </w:p>
        </w:tc>
      </w:tr>
    </w:tbl>
    <w:p w14:paraId="49E4556C" w14:textId="77777777" w:rsidR="006A213E" w:rsidRDefault="00000000">
      <w:pPr>
        <w:pStyle w:val="Heading3"/>
      </w:pPr>
      <w:r>
        <w:rPr>
          <w:rFonts w:ascii="Arial" w:eastAsia="Arial" w:hAnsi="Arial"/>
        </w:rPr>
        <w:t>15.4 Verification Tests</w:t>
      </w:r>
    </w:p>
    <w:tbl>
      <w:tblPr>
        <w:tblW w:w="0" w:type="auto"/>
        <w:jc w:val="center"/>
        <w:tblLayout w:type="fixed"/>
        <w:tblLook w:val="04A0" w:firstRow="1" w:lastRow="0" w:firstColumn="1" w:lastColumn="0" w:noHBand="0" w:noVBand="1"/>
      </w:tblPr>
      <w:tblGrid>
        <w:gridCol w:w="8784"/>
      </w:tblGrid>
      <w:tr w:rsidR="006A213E" w14:paraId="46F0E174"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57ADF084" w14:textId="77777777" w:rsidR="006A213E" w:rsidRDefault="00000000">
            <w:pPr>
              <w:pStyle w:val="BodyTight"/>
              <w:spacing w:after="40"/>
            </w:pPr>
            <w:r>
              <w:rPr>
                <w:b/>
                <w:color w:val="1F4E78"/>
                <w:sz w:val="19"/>
              </w:rPr>
              <w:t xml:space="preserve">TEST SUITE 15A — False Receipt Refusal  </w:t>
            </w:r>
            <w:r>
              <w:rPr>
                <w:sz w:val="19"/>
              </w:rPr>
              <w:t>Force a validator to attempt receipt issuance before durable batch persistence. The node must refuse to sign, and no certificate assembler may count that receipt even if it appears syntactically valid.</w:t>
            </w:r>
          </w:p>
        </w:tc>
      </w:tr>
      <w:tr w:rsidR="006A213E" w14:paraId="58BD9768"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2205EF64" w14:textId="77777777" w:rsidR="006A213E" w:rsidRDefault="00000000">
            <w:pPr>
              <w:pStyle w:val="BodyTight"/>
              <w:spacing w:after="40"/>
            </w:pPr>
            <w:r>
              <w:rPr>
                <w:b/>
                <w:color w:val="1F4E78"/>
                <w:sz w:val="19"/>
              </w:rPr>
              <w:t xml:space="preserve">TEST SUITE 15B — Withholding After Vertex Broadcast  </w:t>
            </w:r>
            <w:r>
              <w:rPr>
                <w:sz w:val="19"/>
              </w:rPr>
              <w:t>Broadcast valid vertices while selectively withholding blobs from a subset of peers. Honest validators must fail certification, surface the withholding signal, and preserve evidence for penalty review.</w:t>
            </w:r>
          </w:p>
        </w:tc>
      </w:tr>
      <w:tr w:rsidR="006A213E" w14:paraId="7F88168B"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7C6666F1" w14:textId="77777777" w:rsidR="006A213E" w:rsidRDefault="00000000">
            <w:pPr>
              <w:pStyle w:val="BodyTight"/>
              <w:spacing w:after="40"/>
            </w:pPr>
            <w:r>
              <w:rPr>
                <w:b/>
                <w:color w:val="1F4E78"/>
                <w:sz w:val="19"/>
              </w:rPr>
              <w:t xml:space="preserve">TEST SUITE 15C — DAG Flood Saturation  </w:t>
            </w:r>
            <w:r>
              <w:rPr>
                <w:sz w:val="19"/>
              </w:rPr>
              <w:t>Inject low-value vertices, missing-parent requests, and oversized fetch pressure until peer budgets are stressed. QC, checkpoint, and evidence traffic must remain serviceable under independent queue budgets.</w:t>
            </w:r>
          </w:p>
        </w:tc>
      </w:tr>
      <w:tr w:rsidR="006A213E" w14:paraId="0234556E"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22D5E163" w14:textId="77777777" w:rsidR="006A213E" w:rsidRDefault="00000000">
            <w:pPr>
              <w:pStyle w:val="BodyTight"/>
              <w:spacing w:after="40"/>
            </w:pPr>
            <w:r>
              <w:rPr>
                <w:b/>
                <w:color w:val="1F4E78"/>
                <w:sz w:val="19"/>
              </w:rPr>
              <w:t xml:space="preserve">TEST SUITE 15D — Parent-Diversity Evasion  </w:t>
            </w:r>
            <w:r>
              <w:rPr>
                <w:sz w:val="19"/>
              </w:rPr>
              <w:t>Construct a clique that references only itself despite broader parent availability. Honest validators must detect the reduced diversity score and reject or quarantine the offending frontier segment.</w:t>
            </w:r>
          </w:p>
        </w:tc>
      </w:tr>
      <w:tr w:rsidR="006A213E" w14:paraId="133302BC"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2CBE14DC" w14:textId="77777777" w:rsidR="006A213E" w:rsidRDefault="00000000">
            <w:pPr>
              <w:pStyle w:val="BodyTight"/>
              <w:spacing w:after="40"/>
            </w:pPr>
            <w:r>
              <w:rPr>
                <w:b/>
                <w:color w:val="1F4E78"/>
                <w:sz w:val="19"/>
              </w:rPr>
              <w:t xml:space="preserve">TEST SUITE 15E — Subgraph Isolation Under Partial Synchrony  </w:t>
            </w:r>
            <w:r>
              <w:rPr>
                <w:sz w:val="19"/>
              </w:rPr>
              <w:t xml:space="preserve">Partition the cluster so different honest subsets see different near-frontiers. The network must avoid certifying unavailable data and </w:t>
            </w:r>
            <w:r>
              <w:rPr>
                <w:sz w:val="19"/>
              </w:rPr>
              <w:lastRenderedPageBreak/>
              <w:t>must converge once connectivity returns without silent data loss.</w:t>
            </w:r>
          </w:p>
        </w:tc>
      </w:tr>
      <w:tr w:rsidR="006A213E" w14:paraId="4514020C"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26FCA35E" w14:textId="77777777" w:rsidR="006A213E" w:rsidRDefault="00000000">
            <w:pPr>
              <w:pStyle w:val="BodyTight"/>
              <w:spacing w:after="40"/>
            </w:pPr>
            <w:r>
              <w:rPr>
                <w:b/>
                <w:color w:val="1F4E78"/>
                <w:sz w:val="19"/>
              </w:rPr>
              <w:lastRenderedPageBreak/>
              <w:t xml:space="preserve">TEST SUITE 15F — Public Data Leakage Audit  </w:t>
            </w:r>
            <w:r>
              <w:rPr>
                <w:sz w:val="19"/>
              </w:rPr>
              <w:t>Confirm that public read RPC endpoints expose status and proofs only, never raw encrypted payloads, plaintext transaction contents, or private repair queues.</w:t>
            </w:r>
          </w:p>
        </w:tc>
      </w:tr>
    </w:tbl>
    <w:p w14:paraId="2B9F6957" w14:textId="77777777" w:rsidR="006A213E" w:rsidRDefault="00000000">
      <w:r>
        <w:br w:type="page"/>
      </w:r>
    </w:p>
    <w:p w14:paraId="1D99066D" w14:textId="77777777" w:rsidR="006A213E" w:rsidRDefault="00000000">
      <w:pPr>
        <w:pStyle w:val="Heading1"/>
      </w:pPr>
      <w:r>
        <w:rPr>
          <w:rFonts w:ascii="Arial" w:eastAsia="Arial" w:hAnsi="Arial"/>
        </w:rPr>
        <w:lastRenderedPageBreak/>
        <w:t>Attack Category 16: DAG Ordering, Equivocation, Replay, and Cross-Layer Consistency Attacks</w:t>
      </w:r>
    </w:p>
    <w:p w14:paraId="12983295" w14:textId="77777777" w:rsidR="006A213E" w:rsidRDefault="00000000">
      <w:pPr>
        <w:pStyle w:val="Heading3"/>
      </w:pPr>
      <w:r>
        <w:rPr>
          <w:rFonts w:ascii="Arial" w:eastAsia="Arial" w:hAnsi="Arial"/>
        </w:rPr>
        <w:t>16.1 Threat Description</w:t>
      </w:r>
    </w:p>
    <w:p w14:paraId="73D92D55" w14:textId="77777777" w:rsidR="006A213E" w:rsidRDefault="00000000">
      <w:r>
        <w:t>Once a DAG is certified, the next danger is ordering. A malicious author may equivocate by producing multiple vertices in the same round. A proposer may compute a biased or fraudulent OrderingCut that omits inconvenient certified vertices, includes uncertified vertices, or applies a non-deterministic tie-breaker. An attacker may replay stale vertices into a new epoch, exploit timestamp skew to influence local ordering heuristics, or present a block whose ordered transaction root does not actually match the certified frontier it claims to consume.</w:t>
      </w:r>
    </w:p>
    <w:p w14:paraId="6DAD0059" w14:textId="77777777" w:rsidR="006A213E" w:rsidRDefault="00000000">
      <w:r>
        <w:t>The special risk in Synergy is cross-layer inconsistency. The base layer finalizes blocks with PoSy dual-quorum QCs, while the DAG provides the pre-ordering data plane. If the boundary between those planes is loose, then one validator may believe it voted on a block backed by one frontier while another reconstructs a different frontier from the same commitments. That is exactly the kind of disagreement a deterministic-finality network must refuse to tolerate.</w:t>
      </w:r>
    </w:p>
    <w:p w14:paraId="20F35AE2" w14:textId="77777777" w:rsidR="006A213E" w:rsidRDefault="00000000">
      <w:r>
        <w:t>Double-spend race amplification also belongs here. The DAG does not itself settle conflicts, but a badly designed ordering layer can amplify them by letting conflicting transactions survive too long near the frontier or by allowing proposer-local heuristics to decide which conflict wins. Synergy avoids that by making the cut algorithm canonical, the tie-breakers explicit, and the validator verification path strict.</w:t>
      </w:r>
    </w:p>
    <w:p w14:paraId="32F25004" w14:textId="77777777" w:rsidR="006A213E" w:rsidRDefault="00000000">
      <w:pPr>
        <w:pStyle w:val="Heading3"/>
      </w:pPr>
      <w:r>
        <w:rPr>
          <w:rFonts w:ascii="Arial" w:eastAsia="Arial" w:hAnsi="Arial"/>
        </w:rPr>
        <w:t>16.2 Synergy Implementation: Canonical Cut Rules, Author Uniqueness, and Block Commitment Binding</w:t>
      </w:r>
    </w:p>
    <w:p w14:paraId="14F480F9" w14:textId="77777777" w:rsidR="006A213E" w:rsidRDefault="00000000">
      <w:r>
        <w:t>The beta rule is intentionally severe: one author, one vertex, one round. Every vertex carries epoch_id, cluster_id, round, author_validator_id, prev_author_vertex_id, parent set, batch commitment, sequence number, and author signature. That author chain means same-round equivocation is not a nuanced statistical offense; it is machine-detectable and slashable. If two signed same-round vertices from the same author exist, the evidence is direct.</w:t>
      </w:r>
    </w:p>
    <w:p w14:paraId="030489EE" w14:textId="77777777" w:rsidR="006A213E" w:rsidRDefault="00000000">
      <w:r>
        <w:t>Ordering is deterministic and implementation-independent. The normative rule for the beta path is: first preserve topological precedence; then sort same-level candidates by round; then by author validator identifier; then by vertex hash; and finally preserve the deterministic transaction order committed within each vertex. Timestamps may be checked for sanity windows and replay diagnostics, but they may not serve as a primary tie-breaker. Wall clocks are not consensus.</w:t>
      </w:r>
    </w:p>
    <w:p w14:paraId="602C2F26" w14:textId="77777777" w:rsidR="006A213E" w:rsidRDefault="00000000">
      <w:r>
        <w:t>Every block that consumes DAG input must bind the DAG evidence it relies on. At minimum the block proposal or header must commit to the OrderingCut root, the included certified-vertex set root, and the availability-related root needed for independent validator reconstruction. Validators must recompute these roots locally before voting. If the proposal references uncertified vertices, mixes epochs, mismatches roots, or otherwise fails the deterministic replay of the cut, the validator must refuse the vote and emit evidence.</w:t>
      </w:r>
    </w:p>
    <w:p w14:paraId="1A19ADC9" w14:textId="77777777" w:rsidR="006A213E" w:rsidRDefault="00000000">
      <w:r>
        <w:t>Replay protection is strict. DAG object identifiers, signatures, and local caches are scoped by chain, epoch, cluster, and round. Previous-epoch vertices expire at epoch transition unless explicitly re-ingested through the new epoch path. Sequence numbers and previous-author links prevent silent reordering within an author stream. QC remains the only settlement proof; a DAG certificate proves availability only and cannot authorize execution by itself.</w:t>
      </w:r>
    </w:p>
    <w:p w14:paraId="662CAE7E" w14:textId="77777777" w:rsidR="006A213E" w:rsidRDefault="00000000">
      <w:pPr>
        <w:pStyle w:val="Heading3"/>
      </w:pPr>
      <w:r>
        <w:rPr>
          <w:rFonts w:ascii="Arial" w:eastAsia="Arial" w:hAnsi="Arial"/>
        </w:rPr>
        <w:t>16.3 Implementation Steps</w:t>
      </w:r>
    </w:p>
    <w:tbl>
      <w:tblPr>
        <w:tblW w:w="0" w:type="auto"/>
        <w:jc w:val="center"/>
        <w:tblLayout w:type="fixed"/>
        <w:tblLook w:val="04A0" w:firstRow="1" w:lastRow="0" w:firstColumn="1" w:lastColumn="0" w:noHBand="0" w:noVBand="1"/>
      </w:tblPr>
      <w:tblGrid>
        <w:gridCol w:w="691"/>
        <w:gridCol w:w="1771"/>
        <w:gridCol w:w="3715"/>
        <w:gridCol w:w="2606"/>
      </w:tblGrid>
      <w:tr w:rsidR="006A213E" w14:paraId="61F471D6" w14:textId="77777777">
        <w:trPr>
          <w:cantSplit/>
          <w:tblHeader/>
          <w:jc w:val="center"/>
        </w:trPr>
        <w:tc>
          <w:tcPr>
            <w:tcW w:w="691"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5B2EF3A2" w14:textId="77777777" w:rsidR="006A213E" w:rsidRDefault="00000000">
            <w:pPr>
              <w:pStyle w:val="BodyTight"/>
              <w:spacing w:after="0"/>
              <w:jc w:val="center"/>
            </w:pPr>
            <w:r>
              <w:rPr>
                <w:b/>
                <w:color w:val="FFFFFF"/>
                <w:sz w:val="19"/>
              </w:rPr>
              <w:t>Step</w:t>
            </w:r>
          </w:p>
        </w:tc>
        <w:tc>
          <w:tcPr>
            <w:tcW w:w="1771"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33458237" w14:textId="77777777" w:rsidR="006A213E" w:rsidRDefault="00000000">
            <w:pPr>
              <w:pStyle w:val="BodyTight"/>
              <w:spacing w:after="0"/>
              <w:jc w:val="center"/>
            </w:pPr>
            <w:r>
              <w:rPr>
                <w:b/>
                <w:color w:val="FFFFFF"/>
                <w:sz w:val="19"/>
              </w:rPr>
              <w:t>Action</w:t>
            </w:r>
          </w:p>
        </w:tc>
        <w:tc>
          <w:tcPr>
            <w:tcW w:w="3715"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0CA15532" w14:textId="77777777" w:rsidR="006A213E" w:rsidRDefault="00000000">
            <w:pPr>
              <w:pStyle w:val="BodyTight"/>
              <w:spacing w:after="0"/>
              <w:jc w:val="center"/>
            </w:pPr>
            <w:r>
              <w:rPr>
                <w:b/>
                <w:color w:val="FFFFFF"/>
                <w:sz w:val="19"/>
              </w:rPr>
              <w:t>Implementation detail</w:t>
            </w:r>
          </w:p>
        </w:tc>
        <w:tc>
          <w:tcPr>
            <w:tcW w:w="2606"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244E1125" w14:textId="77777777" w:rsidR="006A213E" w:rsidRDefault="00000000">
            <w:pPr>
              <w:pStyle w:val="BodyTight"/>
              <w:spacing w:after="0"/>
              <w:jc w:val="center"/>
            </w:pPr>
            <w:r>
              <w:rPr>
                <w:b/>
                <w:color w:val="FFFFFF"/>
                <w:sz w:val="19"/>
              </w:rPr>
              <w:t>Verification gate</w:t>
            </w:r>
          </w:p>
        </w:tc>
      </w:tr>
      <w:tr w:rsidR="006A213E" w14:paraId="682D172C"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9BFFDD3" w14:textId="77777777" w:rsidR="006A213E" w:rsidRDefault="00000000">
            <w:pPr>
              <w:pStyle w:val="BodyTight"/>
              <w:spacing w:after="0"/>
              <w:jc w:val="center"/>
            </w:pPr>
            <w:r>
              <w:rPr>
                <w:b/>
                <w:sz w:val="18"/>
              </w:rPr>
              <w:lastRenderedPageBreak/>
              <w:t>1</w:t>
            </w:r>
          </w:p>
        </w:tc>
        <w:tc>
          <w:tcPr>
            <w:tcW w:w="177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57974BF" w14:textId="77777777" w:rsidR="006A213E" w:rsidRDefault="00000000">
            <w:pPr>
              <w:pStyle w:val="BodyTight"/>
              <w:spacing w:after="0"/>
            </w:pPr>
            <w:r>
              <w:rPr>
                <w:sz w:val="18"/>
              </w:rPr>
              <w:t>Enforce author uniqueness</w:t>
            </w:r>
          </w:p>
        </w:tc>
        <w:tc>
          <w:tcPr>
            <w:tcW w:w="371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F80AF36" w14:textId="77777777" w:rsidR="006A213E" w:rsidRDefault="00000000">
            <w:pPr>
              <w:pStyle w:val="BodyTight"/>
              <w:spacing w:after="0"/>
            </w:pPr>
            <w:r>
              <w:rPr>
                <w:sz w:val="18"/>
              </w:rPr>
              <w:t>Validator runtime must reject or evidence multiple vertices from the same author and round, including variants with different parent sets.</w:t>
            </w:r>
          </w:p>
        </w:tc>
        <w:tc>
          <w:tcPr>
            <w:tcW w:w="260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6CE6CB3" w14:textId="77777777" w:rsidR="006A213E" w:rsidRDefault="00000000">
            <w:pPr>
              <w:pStyle w:val="BodyTight"/>
              <w:spacing w:after="0"/>
            </w:pPr>
            <w:r>
              <w:rPr>
                <w:sz w:val="18"/>
              </w:rPr>
              <w:t>Same-round equivocation must be detected deterministically from signed artifacts alone.</w:t>
            </w:r>
          </w:p>
        </w:tc>
      </w:tr>
      <w:tr w:rsidR="006A213E" w14:paraId="3C54EE14"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4DECE79" w14:textId="77777777" w:rsidR="006A213E" w:rsidRDefault="00000000">
            <w:pPr>
              <w:pStyle w:val="BodyTight"/>
              <w:spacing w:after="0"/>
              <w:jc w:val="center"/>
            </w:pPr>
            <w:r>
              <w:rPr>
                <w:b/>
                <w:sz w:val="18"/>
              </w:rPr>
              <w:t>2</w:t>
            </w:r>
          </w:p>
        </w:tc>
        <w:tc>
          <w:tcPr>
            <w:tcW w:w="177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2A3C97B" w14:textId="77777777" w:rsidR="006A213E" w:rsidRDefault="00000000">
            <w:pPr>
              <w:pStyle w:val="BodyTight"/>
              <w:spacing w:after="0"/>
            </w:pPr>
            <w:r>
              <w:rPr>
                <w:sz w:val="18"/>
              </w:rPr>
              <w:t>Scope all DAG signatures by epoch and cluster</w:t>
            </w:r>
          </w:p>
        </w:tc>
        <w:tc>
          <w:tcPr>
            <w:tcW w:w="371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30753F23" w14:textId="77777777" w:rsidR="006A213E" w:rsidRDefault="00000000">
            <w:pPr>
              <w:pStyle w:val="BodyTight"/>
              <w:spacing w:after="0"/>
            </w:pPr>
            <w:r>
              <w:rPr>
                <w:sz w:val="18"/>
              </w:rPr>
              <w:t>Vertex, receipt, and certificate signatures must bind current epoch and cluster identifiers as first-class fields.</w:t>
            </w:r>
          </w:p>
        </w:tc>
        <w:tc>
          <w:tcPr>
            <w:tcW w:w="260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D03F82F" w14:textId="77777777" w:rsidR="006A213E" w:rsidRDefault="00000000">
            <w:pPr>
              <w:pStyle w:val="BodyTight"/>
              <w:spacing w:after="0"/>
            </w:pPr>
            <w:r>
              <w:rPr>
                <w:sz w:val="18"/>
              </w:rPr>
              <w:t>Cross-epoch or cross-cluster replays must fail admission before storage.</w:t>
            </w:r>
          </w:p>
        </w:tc>
      </w:tr>
      <w:tr w:rsidR="006A213E" w14:paraId="73BA3229"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13E484A" w14:textId="77777777" w:rsidR="006A213E" w:rsidRDefault="00000000">
            <w:pPr>
              <w:pStyle w:val="BodyTight"/>
              <w:spacing w:after="0"/>
              <w:jc w:val="center"/>
            </w:pPr>
            <w:r>
              <w:rPr>
                <w:b/>
                <w:sz w:val="18"/>
              </w:rPr>
              <w:t>3</w:t>
            </w:r>
          </w:p>
        </w:tc>
        <w:tc>
          <w:tcPr>
            <w:tcW w:w="177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6D67FC3F" w14:textId="77777777" w:rsidR="006A213E" w:rsidRDefault="00000000">
            <w:pPr>
              <w:pStyle w:val="BodyTight"/>
              <w:spacing w:after="0"/>
            </w:pPr>
            <w:r>
              <w:rPr>
                <w:sz w:val="18"/>
              </w:rPr>
              <w:t>Implement canonical OrderingCut logic</w:t>
            </w:r>
          </w:p>
        </w:tc>
        <w:tc>
          <w:tcPr>
            <w:tcW w:w="371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944F406" w14:textId="77777777" w:rsidR="006A213E" w:rsidRDefault="00000000">
            <w:pPr>
              <w:pStyle w:val="BodyTight"/>
              <w:spacing w:after="0"/>
            </w:pPr>
            <w:r>
              <w:rPr>
                <w:sz w:val="18"/>
              </w:rPr>
              <w:t>The cut algorithm and tie-breakers must be identical across validators and covered by fixed test vectors.</w:t>
            </w:r>
          </w:p>
        </w:tc>
        <w:tc>
          <w:tcPr>
            <w:tcW w:w="260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5525CAC" w14:textId="77777777" w:rsidR="006A213E" w:rsidRDefault="00000000">
            <w:pPr>
              <w:pStyle w:val="BodyTight"/>
              <w:spacing w:after="0"/>
            </w:pPr>
            <w:r>
              <w:rPr>
                <w:sz w:val="18"/>
              </w:rPr>
              <w:t>Independent implementations must derive the same cut bit-for-bit from the same frontier.</w:t>
            </w:r>
          </w:p>
        </w:tc>
      </w:tr>
      <w:tr w:rsidR="006A213E" w14:paraId="6A169DCD"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9233C84" w14:textId="77777777" w:rsidR="006A213E" w:rsidRDefault="00000000">
            <w:pPr>
              <w:pStyle w:val="BodyTight"/>
              <w:spacing w:after="0"/>
              <w:jc w:val="center"/>
            </w:pPr>
            <w:r>
              <w:rPr>
                <w:b/>
                <w:sz w:val="18"/>
              </w:rPr>
              <w:t>4</w:t>
            </w:r>
          </w:p>
        </w:tc>
        <w:tc>
          <w:tcPr>
            <w:tcW w:w="177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7D563E6" w14:textId="77777777" w:rsidR="006A213E" w:rsidRDefault="00000000">
            <w:pPr>
              <w:pStyle w:val="BodyTight"/>
              <w:spacing w:after="0"/>
            </w:pPr>
            <w:r>
              <w:rPr>
                <w:sz w:val="18"/>
              </w:rPr>
              <w:t>Treat timestamps as metadata only</w:t>
            </w:r>
          </w:p>
        </w:tc>
        <w:tc>
          <w:tcPr>
            <w:tcW w:w="371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066677E" w14:textId="77777777" w:rsidR="006A213E" w:rsidRDefault="00000000">
            <w:pPr>
              <w:pStyle w:val="BodyTight"/>
              <w:spacing w:after="0"/>
            </w:pPr>
            <w:r>
              <w:rPr>
                <w:sz w:val="18"/>
              </w:rPr>
              <w:t>Timestamp checks are bounded-sanity checks and replay diagnostics, never ordering determinants.</w:t>
            </w:r>
          </w:p>
        </w:tc>
        <w:tc>
          <w:tcPr>
            <w:tcW w:w="260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39D06B1" w14:textId="77777777" w:rsidR="006A213E" w:rsidRDefault="00000000">
            <w:pPr>
              <w:pStyle w:val="BodyTight"/>
              <w:spacing w:after="0"/>
            </w:pPr>
            <w:r>
              <w:rPr>
                <w:sz w:val="18"/>
              </w:rPr>
              <w:t>Clock skew must not change the resulting cut on honest nodes.</w:t>
            </w:r>
          </w:p>
        </w:tc>
      </w:tr>
      <w:tr w:rsidR="006A213E" w14:paraId="7AEF5ECF"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0B0A01C" w14:textId="77777777" w:rsidR="006A213E" w:rsidRDefault="00000000">
            <w:pPr>
              <w:pStyle w:val="BodyTight"/>
              <w:spacing w:after="0"/>
              <w:jc w:val="center"/>
            </w:pPr>
            <w:r>
              <w:rPr>
                <w:b/>
                <w:sz w:val="18"/>
              </w:rPr>
              <w:t>5</w:t>
            </w:r>
          </w:p>
        </w:tc>
        <w:tc>
          <w:tcPr>
            <w:tcW w:w="177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2FB1576" w14:textId="77777777" w:rsidR="006A213E" w:rsidRDefault="00000000">
            <w:pPr>
              <w:pStyle w:val="BodyTight"/>
              <w:spacing w:after="0"/>
            </w:pPr>
            <w:r>
              <w:rPr>
                <w:sz w:val="18"/>
              </w:rPr>
              <w:t>Bind DAG roots into block commitments</w:t>
            </w:r>
          </w:p>
        </w:tc>
        <w:tc>
          <w:tcPr>
            <w:tcW w:w="371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57307B1" w14:textId="77777777" w:rsidR="006A213E" w:rsidRDefault="00000000">
            <w:pPr>
              <w:pStyle w:val="BodyTight"/>
              <w:spacing w:after="0"/>
            </w:pPr>
            <w:r>
              <w:rPr>
                <w:sz w:val="18"/>
              </w:rPr>
              <w:t>Block proposals must commit to cut root, certified-set root, and availability root or equivalent roots defined by the DAG architecture spec.</w:t>
            </w:r>
          </w:p>
        </w:tc>
        <w:tc>
          <w:tcPr>
            <w:tcW w:w="260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68FADCA4" w14:textId="77777777" w:rsidR="006A213E" w:rsidRDefault="00000000">
            <w:pPr>
              <w:pStyle w:val="BodyTight"/>
              <w:spacing w:after="0"/>
            </w:pPr>
            <w:r>
              <w:rPr>
                <w:sz w:val="18"/>
              </w:rPr>
              <w:t>Validators must reject any proposal whose commitments do not recompute locally.</w:t>
            </w:r>
          </w:p>
        </w:tc>
      </w:tr>
      <w:tr w:rsidR="006A213E" w14:paraId="41192254"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C15263B" w14:textId="77777777" w:rsidR="006A213E" w:rsidRDefault="00000000">
            <w:pPr>
              <w:pStyle w:val="BodyTight"/>
              <w:spacing w:after="0"/>
              <w:jc w:val="center"/>
            </w:pPr>
            <w:r>
              <w:rPr>
                <w:b/>
                <w:sz w:val="18"/>
              </w:rPr>
              <w:t>6</w:t>
            </w:r>
          </w:p>
        </w:tc>
        <w:tc>
          <w:tcPr>
            <w:tcW w:w="177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2688903" w14:textId="77777777" w:rsidR="006A213E" w:rsidRDefault="00000000">
            <w:pPr>
              <w:pStyle w:val="BodyTight"/>
              <w:spacing w:after="0"/>
            </w:pPr>
            <w:r>
              <w:rPr>
                <w:sz w:val="18"/>
              </w:rPr>
              <w:t>Recompute before voting</w:t>
            </w:r>
          </w:p>
        </w:tc>
        <w:tc>
          <w:tcPr>
            <w:tcW w:w="371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F5D214A" w14:textId="77777777" w:rsidR="006A213E" w:rsidRDefault="00000000">
            <w:pPr>
              <w:pStyle w:val="BodyTight"/>
              <w:spacing w:after="0"/>
            </w:pPr>
            <w:r>
              <w:rPr>
                <w:sz w:val="18"/>
              </w:rPr>
              <w:t>Validator vote logic must verify certificate validity, frontier eligibility, root agreement, and ordered transaction root agreement before execution voting.</w:t>
            </w:r>
          </w:p>
        </w:tc>
        <w:tc>
          <w:tcPr>
            <w:tcW w:w="260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2D2EEA0" w14:textId="77777777" w:rsidR="006A213E" w:rsidRDefault="00000000">
            <w:pPr>
              <w:pStyle w:val="BodyTight"/>
              <w:spacing w:after="0"/>
            </w:pPr>
            <w:r>
              <w:rPr>
                <w:sz w:val="18"/>
              </w:rPr>
              <w:t>No QC vote may be produced for an unverified DAG-derived proposal.</w:t>
            </w:r>
          </w:p>
        </w:tc>
      </w:tr>
      <w:tr w:rsidR="006A213E" w14:paraId="15A8912B"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C46BED0" w14:textId="77777777" w:rsidR="006A213E" w:rsidRDefault="00000000">
            <w:pPr>
              <w:pStyle w:val="BodyTight"/>
              <w:spacing w:after="0"/>
              <w:jc w:val="center"/>
            </w:pPr>
            <w:r>
              <w:rPr>
                <w:b/>
                <w:sz w:val="18"/>
              </w:rPr>
              <w:t>7</w:t>
            </w:r>
          </w:p>
        </w:tc>
        <w:tc>
          <w:tcPr>
            <w:tcW w:w="177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1132AA6" w14:textId="77777777" w:rsidR="006A213E" w:rsidRDefault="00000000">
            <w:pPr>
              <w:pStyle w:val="BodyTight"/>
              <w:spacing w:after="0"/>
            </w:pPr>
            <w:r>
              <w:rPr>
                <w:sz w:val="18"/>
              </w:rPr>
              <w:t>Expire stale graph material at epoch boundaries</w:t>
            </w:r>
          </w:p>
        </w:tc>
        <w:tc>
          <w:tcPr>
            <w:tcW w:w="371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757EA2A" w14:textId="77777777" w:rsidR="006A213E" w:rsidRDefault="00000000">
            <w:pPr>
              <w:pStyle w:val="BodyTight"/>
              <w:spacing w:after="0"/>
            </w:pPr>
            <w:r>
              <w:rPr>
                <w:sz w:val="18"/>
              </w:rPr>
              <w:t>Uncertified previous-epoch material must not bleed into the next epoch except through explicit resubmission.</w:t>
            </w:r>
          </w:p>
        </w:tc>
        <w:tc>
          <w:tcPr>
            <w:tcW w:w="260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2BF0827" w14:textId="77777777" w:rsidR="006A213E" w:rsidRDefault="00000000">
            <w:pPr>
              <w:pStyle w:val="BodyTight"/>
              <w:spacing w:after="0"/>
            </w:pPr>
            <w:r>
              <w:rPr>
                <w:sz w:val="18"/>
              </w:rPr>
              <w:t>Epoch transition tests must show zero silent carry-over.</w:t>
            </w:r>
          </w:p>
        </w:tc>
      </w:tr>
      <w:tr w:rsidR="006A213E" w14:paraId="7A0E73BB"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ED5DFA8" w14:textId="77777777" w:rsidR="006A213E" w:rsidRDefault="00000000">
            <w:pPr>
              <w:pStyle w:val="BodyTight"/>
              <w:spacing w:after="0"/>
              <w:jc w:val="center"/>
            </w:pPr>
            <w:r>
              <w:rPr>
                <w:b/>
                <w:sz w:val="18"/>
              </w:rPr>
              <w:t>8</w:t>
            </w:r>
          </w:p>
        </w:tc>
        <w:tc>
          <w:tcPr>
            <w:tcW w:w="177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DF22358" w14:textId="77777777" w:rsidR="006A213E" w:rsidRDefault="00000000">
            <w:pPr>
              <w:pStyle w:val="BodyTight"/>
              <w:spacing w:after="0"/>
            </w:pPr>
            <w:r>
              <w:rPr>
                <w:sz w:val="18"/>
              </w:rPr>
              <w:t>Emit slashable evidence bundles</w:t>
            </w:r>
          </w:p>
        </w:tc>
        <w:tc>
          <w:tcPr>
            <w:tcW w:w="371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D42D5C9" w14:textId="77777777" w:rsidR="006A213E" w:rsidRDefault="00000000">
            <w:pPr>
              <w:pStyle w:val="BodyTight"/>
              <w:spacing w:after="0"/>
            </w:pPr>
            <w:r>
              <w:rPr>
                <w:sz w:val="18"/>
              </w:rPr>
              <w:t>Equivocation, fraudulent cuts, root mismatches, and replay attempts must serialize into durable evidence objects consumable by slashing and audit pipelines.</w:t>
            </w:r>
          </w:p>
        </w:tc>
        <w:tc>
          <w:tcPr>
            <w:tcW w:w="260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81072BD" w14:textId="77777777" w:rsidR="006A213E" w:rsidRDefault="00000000">
            <w:pPr>
              <w:pStyle w:val="BodyTight"/>
              <w:spacing w:after="0"/>
            </w:pPr>
            <w:r>
              <w:rPr>
                <w:sz w:val="18"/>
              </w:rPr>
              <w:t>Evidence must survive restart, recovery, and archival export.</w:t>
            </w:r>
          </w:p>
        </w:tc>
      </w:tr>
    </w:tbl>
    <w:p w14:paraId="177ABA2F" w14:textId="77777777" w:rsidR="006A213E" w:rsidRDefault="00000000">
      <w:pPr>
        <w:pStyle w:val="Heading3"/>
      </w:pPr>
      <w:r>
        <w:rPr>
          <w:rFonts w:ascii="Arial" w:eastAsia="Arial" w:hAnsi="Arial"/>
        </w:rPr>
        <w:t>16.4 Verification Tests</w:t>
      </w:r>
    </w:p>
    <w:tbl>
      <w:tblPr>
        <w:tblW w:w="0" w:type="auto"/>
        <w:jc w:val="center"/>
        <w:tblLayout w:type="fixed"/>
        <w:tblLook w:val="04A0" w:firstRow="1" w:lastRow="0" w:firstColumn="1" w:lastColumn="0" w:noHBand="0" w:noVBand="1"/>
      </w:tblPr>
      <w:tblGrid>
        <w:gridCol w:w="8784"/>
      </w:tblGrid>
      <w:tr w:rsidR="006A213E" w14:paraId="2F38CE05"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5A454A1B" w14:textId="77777777" w:rsidR="006A213E" w:rsidRDefault="00000000">
            <w:pPr>
              <w:pStyle w:val="BodyTight"/>
              <w:spacing w:after="40"/>
            </w:pPr>
            <w:r>
              <w:rPr>
                <w:b/>
                <w:color w:val="1F4E78"/>
                <w:sz w:val="19"/>
              </w:rPr>
              <w:t xml:space="preserve">TEST SUITE 16A — Same-Round Equivocation  </w:t>
            </w:r>
            <w:r>
              <w:rPr>
                <w:sz w:val="19"/>
              </w:rPr>
              <w:t>Produce two signed same-round vertices from one author. Honest validators must emit the same evidence bundle and refuse both or the offending author according to policy.</w:t>
            </w:r>
          </w:p>
        </w:tc>
      </w:tr>
      <w:tr w:rsidR="006A213E" w14:paraId="250A04EB"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314451FC" w14:textId="77777777" w:rsidR="006A213E" w:rsidRDefault="00000000">
            <w:pPr>
              <w:pStyle w:val="BodyTight"/>
              <w:spacing w:after="40"/>
            </w:pPr>
            <w:r>
              <w:rPr>
                <w:b/>
                <w:color w:val="1F4E78"/>
                <w:sz w:val="19"/>
              </w:rPr>
              <w:t xml:space="preserve">TEST SUITE 16B — Deterministic Cut Convergence  </w:t>
            </w:r>
            <w:r>
              <w:rPr>
                <w:sz w:val="19"/>
              </w:rPr>
              <w:t>Feed identical certified frontiers to multiple independent validator builds and confirm that every build derives the same cut root and ordered transaction root.</w:t>
            </w:r>
          </w:p>
        </w:tc>
      </w:tr>
      <w:tr w:rsidR="006A213E" w14:paraId="112A9997"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0C6B7315" w14:textId="77777777" w:rsidR="006A213E" w:rsidRDefault="00000000">
            <w:pPr>
              <w:pStyle w:val="BodyTight"/>
              <w:spacing w:after="40"/>
            </w:pPr>
            <w:r>
              <w:rPr>
                <w:b/>
                <w:color w:val="1F4E78"/>
                <w:sz w:val="19"/>
              </w:rPr>
              <w:t xml:space="preserve">TEST SUITE 16C — Fraudulent Proposer Cut  </w:t>
            </w:r>
            <w:r>
              <w:rPr>
                <w:sz w:val="19"/>
              </w:rPr>
              <w:t>Have a proposer omit certified vertices or inject uncertified vertices into the candidate cut. Validators must reject the proposal before QC voting and preserve evidence.</w:t>
            </w:r>
          </w:p>
        </w:tc>
      </w:tr>
      <w:tr w:rsidR="006A213E" w14:paraId="49B73496"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2A52E8BC" w14:textId="77777777" w:rsidR="006A213E" w:rsidRDefault="00000000">
            <w:pPr>
              <w:pStyle w:val="BodyTight"/>
              <w:spacing w:after="40"/>
            </w:pPr>
            <w:r>
              <w:rPr>
                <w:b/>
                <w:color w:val="1F4E78"/>
                <w:sz w:val="19"/>
              </w:rPr>
              <w:t xml:space="preserve">TEST SUITE 16D — Epoch Bleed and Replay  </w:t>
            </w:r>
            <w:r>
              <w:rPr>
                <w:sz w:val="19"/>
              </w:rPr>
              <w:t>Reinject previous-epoch vertices, receipts, and certificates into the next epoch. Admission must fail, caches must not silently resurrect them, and replay evidence must be retained.</w:t>
            </w:r>
          </w:p>
        </w:tc>
      </w:tr>
      <w:tr w:rsidR="006A213E" w14:paraId="22C2B0A4"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1469327D" w14:textId="77777777" w:rsidR="006A213E" w:rsidRDefault="00000000">
            <w:pPr>
              <w:pStyle w:val="BodyTight"/>
              <w:spacing w:after="40"/>
            </w:pPr>
            <w:r>
              <w:rPr>
                <w:b/>
                <w:color w:val="1F4E78"/>
                <w:sz w:val="19"/>
              </w:rPr>
              <w:t xml:space="preserve">TEST SUITE 16E — Timestamp Skew  </w:t>
            </w:r>
            <w:r>
              <w:rPr>
                <w:sz w:val="19"/>
              </w:rPr>
              <w:t>Run validators under skewed local clocks within the allowed bound and confirm that cut computation remains unchanged. Only diagnostics should differ, never ordering.</w:t>
            </w:r>
          </w:p>
        </w:tc>
      </w:tr>
      <w:tr w:rsidR="006A213E" w14:paraId="590C4D71"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21FF4524" w14:textId="77777777" w:rsidR="006A213E" w:rsidRDefault="00000000">
            <w:pPr>
              <w:pStyle w:val="BodyTight"/>
              <w:spacing w:after="40"/>
            </w:pPr>
            <w:r>
              <w:rPr>
                <w:b/>
                <w:color w:val="1F4E78"/>
                <w:sz w:val="19"/>
              </w:rPr>
              <w:lastRenderedPageBreak/>
              <w:t xml:space="preserve">TEST SUITE 16F — Root Mismatch Audit  </w:t>
            </w:r>
            <w:r>
              <w:rPr>
                <w:sz w:val="19"/>
              </w:rPr>
              <w:t>Construct a block whose ordered transaction root does not match the cut root or certified-set root it claims to bind. Every honest validator must reject the vote path.</w:t>
            </w:r>
          </w:p>
        </w:tc>
      </w:tr>
    </w:tbl>
    <w:p w14:paraId="4803E04F" w14:textId="77777777" w:rsidR="006A213E" w:rsidRDefault="00000000">
      <w:r>
        <w:br w:type="page"/>
      </w:r>
    </w:p>
    <w:p w14:paraId="57C124FE" w14:textId="77777777" w:rsidR="006A213E" w:rsidRDefault="00000000">
      <w:pPr>
        <w:pStyle w:val="Heading1"/>
      </w:pPr>
      <w:r>
        <w:rPr>
          <w:rFonts w:ascii="Arial" w:eastAsia="Arial" w:hAnsi="Arial"/>
        </w:rPr>
        <w:lastRenderedPageBreak/>
        <w:t>Attack Category 17: DAG Pruning, Recovery, Forensics, and Control-Plane Abuse</w:t>
      </w:r>
    </w:p>
    <w:p w14:paraId="27B50C80" w14:textId="77777777" w:rsidR="006A213E" w:rsidRDefault="00000000">
      <w:pPr>
        <w:pStyle w:val="Heading3"/>
      </w:pPr>
      <w:r>
        <w:rPr>
          <w:rFonts w:ascii="Arial" w:eastAsia="Arial" w:hAnsi="Arial"/>
        </w:rPr>
        <w:t>17.1 Threat Description</w:t>
      </w:r>
    </w:p>
    <w:p w14:paraId="67AD5760" w14:textId="77777777" w:rsidR="006A213E" w:rsidRDefault="00000000">
      <w:r>
        <w:t>A DAG rollout does not end when the block is finalized. The dangerous long-tail problems live in retention, pruning, recovery, and operator interfaces. If DAG objects are pruned too early, slashable evidence disappears. If archive nodes and validators reconstruct different checkpoint lineages, the network loses forensic credibility. If a privileged operator can trigger repair, replay, or prune procedures without strong audit trails and role isolation, then the control plane becomes its own attack surface.</w:t>
      </w:r>
    </w:p>
    <w:p w14:paraId="7FFDE5A6" w14:textId="77777777" w:rsidR="006A213E" w:rsidRDefault="00000000">
      <w:r>
        <w:t>Recovery is especially dangerous because it is where a compromised or merely sloppy node may try to make history fit a desired local state. A malicious restore path can import stale certificates, skip missing evidence, accept inconsistent checkpoints, or rebuild a frontier that no honest validator ever saw. Likewise, a public or weakly protected RPC surface can leak internal DAG topology, private batch handles, or operator-only controls that materially help an adversary map or manipulate the cluster.</w:t>
      </w:r>
    </w:p>
    <w:p w14:paraId="4A600119" w14:textId="77777777" w:rsidR="006A213E" w:rsidRDefault="00000000">
      <w:r>
        <w:t>Synergy therefore has to treat DAG recovery and DAG RPC exposure as security domains, not convenience features. Archive validators, audit validators, and data-availability roles exist for exactly this reason. The purpose of those roles is not just storage economy; it is to make sure DAG evidence can be reconstructed, challenged, and exported without letting ordinary public endpoints become a treasure map for attackers.</w:t>
      </w:r>
    </w:p>
    <w:p w14:paraId="6016F638" w14:textId="77777777" w:rsidR="006A213E" w:rsidRDefault="00000000">
      <w:pPr>
        <w:pStyle w:val="Heading3"/>
      </w:pPr>
      <w:r>
        <w:rPr>
          <w:rFonts w:ascii="Arial" w:eastAsia="Arial" w:hAnsi="Arial"/>
        </w:rPr>
        <w:t>17.2 Synergy Implementation: Separate Stores, Proof-Backed Recovery, Restricted DAG RPC, and Quarantine/Fallback</w:t>
      </w:r>
    </w:p>
    <w:p w14:paraId="6BF0AFE3" w14:textId="77777777" w:rsidR="006A213E" w:rsidRDefault="00000000">
      <w:r>
        <w:t>The DAG store is separate from canonical chain state. That is a hard requirement. Vertices, receipts, certificates, blobs, repair logs, checkpoints, and evidence bundles must be stored in a DAG-specific persistence layer with its own retention rules, integrity digests, and export interfaces. Pruning may occur only below a finalized checkpoint watermark and only after the retention period for slashable evidence and archive reconstruction has expired. If archive acknowledgement or integrity proofs are missing, pruning is blocked.</w:t>
      </w:r>
    </w:p>
    <w:p w14:paraId="0B9886BD" w14:textId="77777777" w:rsidR="006A213E" w:rsidRDefault="00000000">
      <w:r>
        <w:t>Recovery must be proof-backed. A node rebuilding DAG state may not simply trust the latest peer that answers first. It must verify checkpoint lineage, certificate validity, signer-set integrity, and stored commitment roots. Where recovery cannot prove a clean DAG state, the node enters quarantine and requests archive or audit assistance. Safe fallback is allowed only under governance-approved policy and may never invent ordering from unproved DAG input.</w:t>
      </w:r>
    </w:p>
    <w:p w14:paraId="7575AA18" w14:textId="77777777" w:rsidR="006A213E" w:rsidRDefault="00000000">
      <w:r>
        <w:t>DAG RPC methods are divided into public read, validator-private, operator, governance-controlled, and audit/forensic profiles. Public read methods expose only safe summaries and proof references. Validator-private methods such as private batch fetch, receipt submission, repair replay, or certificate propagation must be cluster-authenticated and non-public. Operator methods require mutually authenticated transport, explicit role policy, and immutable audit logs. Forensic methods may expose evidence bundles and lineage diagnostics, but only to audit or explicitly authorized operator profiles.</w:t>
      </w:r>
    </w:p>
    <w:p w14:paraId="3E0B45B7" w14:textId="77777777" w:rsidR="006A213E" w:rsidRDefault="00000000">
      <w:r>
        <w:t>Parameter changes that affect DAG safety — certificate thresholds, parent-diversity rules, retention periods, prune watermarks, safe-fallback toggles, and public/private RPC exposure — must be governance-controlled and activation-delayed. An operator must never be able to weaken DAG security instantly by local UI alone. The governance path may authorize configuration, but the validator runtime still retains fail-closed authority when a requested policy would violate mandatory invariants.</w:t>
      </w:r>
    </w:p>
    <w:p w14:paraId="517E6601" w14:textId="77777777" w:rsidR="006A213E" w:rsidRDefault="00000000">
      <w:pPr>
        <w:pStyle w:val="Heading3"/>
      </w:pPr>
      <w:r>
        <w:rPr>
          <w:rFonts w:ascii="Arial" w:eastAsia="Arial" w:hAnsi="Arial"/>
        </w:rPr>
        <w:t>17.3 Implementation Steps</w:t>
      </w:r>
    </w:p>
    <w:tbl>
      <w:tblPr>
        <w:tblW w:w="0" w:type="auto"/>
        <w:jc w:val="center"/>
        <w:tblLayout w:type="fixed"/>
        <w:tblLook w:val="04A0" w:firstRow="1" w:lastRow="0" w:firstColumn="1" w:lastColumn="0" w:noHBand="0" w:noVBand="1"/>
      </w:tblPr>
      <w:tblGrid>
        <w:gridCol w:w="691"/>
        <w:gridCol w:w="1756"/>
        <w:gridCol w:w="3744"/>
        <w:gridCol w:w="2592"/>
      </w:tblGrid>
      <w:tr w:rsidR="006A213E" w14:paraId="1FC0A779" w14:textId="77777777">
        <w:trPr>
          <w:cantSplit/>
          <w:tblHeader/>
          <w:jc w:val="center"/>
        </w:trPr>
        <w:tc>
          <w:tcPr>
            <w:tcW w:w="691"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791C1D1C" w14:textId="77777777" w:rsidR="006A213E" w:rsidRDefault="00000000">
            <w:pPr>
              <w:pStyle w:val="BodyTight"/>
              <w:spacing w:after="0"/>
              <w:jc w:val="center"/>
            </w:pPr>
            <w:r>
              <w:rPr>
                <w:b/>
                <w:color w:val="FFFFFF"/>
                <w:sz w:val="19"/>
              </w:rPr>
              <w:t>Step</w:t>
            </w:r>
          </w:p>
        </w:tc>
        <w:tc>
          <w:tcPr>
            <w:tcW w:w="1756"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4695B8D4" w14:textId="77777777" w:rsidR="006A213E" w:rsidRDefault="00000000">
            <w:pPr>
              <w:pStyle w:val="BodyTight"/>
              <w:spacing w:after="0"/>
              <w:jc w:val="center"/>
            </w:pPr>
            <w:r>
              <w:rPr>
                <w:b/>
                <w:color w:val="FFFFFF"/>
                <w:sz w:val="19"/>
              </w:rPr>
              <w:t>Action</w:t>
            </w:r>
          </w:p>
        </w:tc>
        <w:tc>
          <w:tcPr>
            <w:tcW w:w="3744"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78E06804" w14:textId="77777777" w:rsidR="006A213E" w:rsidRDefault="00000000">
            <w:pPr>
              <w:pStyle w:val="BodyTight"/>
              <w:spacing w:after="0"/>
              <w:jc w:val="center"/>
            </w:pPr>
            <w:r>
              <w:rPr>
                <w:b/>
                <w:color w:val="FFFFFF"/>
                <w:sz w:val="19"/>
              </w:rPr>
              <w:t>Implementation detail</w:t>
            </w:r>
          </w:p>
        </w:tc>
        <w:tc>
          <w:tcPr>
            <w:tcW w:w="2592"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54035AD6" w14:textId="77777777" w:rsidR="006A213E" w:rsidRDefault="00000000">
            <w:pPr>
              <w:pStyle w:val="BodyTight"/>
              <w:spacing w:after="0"/>
              <w:jc w:val="center"/>
            </w:pPr>
            <w:r>
              <w:rPr>
                <w:b/>
                <w:color w:val="FFFFFF"/>
                <w:sz w:val="19"/>
              </w:rPr>
              <w:t>Verification gate</w:t>
            </w:r>
          </w:p>
        </w:tc>
      </w:tr>
      <w:tr w:rsidR="006A213E" w14:paraId="7B67C398"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3CE59DBB" w14:textId="77777777" w:rsidR="006A213E" w:rsidRDefault="00000000">
            <w:pPr>
              <w:pStyle w:val="BodyTight"/>
              <w:spacing w:after="0"/>
              <w:jc w:val="center"/>
            </w:pPr>
            <w:r>
              <w:rPr>
                <w:b/>
                <w:sz w:val="18"/>
              </w:rPr>
              <w:lastRenderedPageBreak/>
              <w:t>1</w:t>
            </w:r>
          </w:p>
        </w:tc>
        <w:tc>
          <w:tcPr>
            <w:tcW w:w="175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FE0E16E" w14:textId="77777777" w:rsidR="006A213E" w:rsidRDefault="00000000">
            <w:pPr>
              <w:pStyle w:val="BodyTight"/>
              <w:spacing w:after="0"/>
            </w:pPr>
            <w:r>
              <w:rPr>
                <w:sz w:val="18"/>
              </w:rPr>
              <w:t>Separate DAG persistence from chain state</w:t>
            </w:r>
          </w:p>
        </w:tc>
        <w:tc>
          <w:tcPr>
            <w:tcW w:w="374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1351248" w14:textId="77777777" w:rsidR="006A213E" w:rsidRDefault="00000000">
            <w:pPr>
              <w:pStyle w:val="BodyTight"/>
              <w:spacing w:after="0"/>
            </w:pPr>
            <w:r>
              <w:rPr>
                <w:sz w:val="18"/>
              </w:rPr>
              <w:t>Implement dedicated stores for vertices, blobs, certificates, checkpoints, repair logs, and evidence with independent integrity digests.</w:t>
            </w:r>
          </w:p>
        </w:tc>
        <w:tc>
          <w:tcPr>
            <w:tcW w:w="259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6C0AF50C" w14:textId="77777777" w:rsidR="006A213E" w:rsidRDefault="00000000">
            <w:pPr>
              <w:pStyle w:val="BodyTight"/>
              <w:spacing w:after="0"/>
            </w:pPr>
            <w:r>
              <w:rPr>
                <w:sz w:val="18"/>
              </w:rPr>
              <w:t>Rollback and recovery tests must preserve evidence even when chain replay is restarted.</w:t>
            </w:r>
          </w:p>
        </w:tc>
      </w:tr>
      <w:tr w:rsidR="006A213E" w14:paraId="02381FCB"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6C79BB9" w14:textId="77777777" w:rsidR="006A213E" w:rsidRDefault="00000000">
            <w:pPr>
              <w:pStyle w:val="BodyTight"/>
              <w:spacing w:after="0"/>
              <w:jc w:val="center"/>
            </w:pPr>
            <w:r>
              <w:rPr>
                <w:b/>
                <w:sz w:val="18"/>
              </w:rPr>
              <w:t>2</w:t>
            </w:r>
          </w:p>
        </w:tc>
        <w:tc>
          <w:tcPr>
            <w:tcW w:w="175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2ADEBA3" w14:textId="77777777" w:rsidR="006A213E" w:rsidRDefault="00000000">
            <w:pPr>
              <w:pStyle w:val="BodyTight"/>
              <w:spacing w:after="0"/>
            </w:pPr>
            <w:r>
              <w:rPr>
                <w:sz w:val="18"/>
              </w:rPr>
              <w:t>Gate pruning behind finalized lineage and retention</w:t>
            </w:r>
          </w:p>
        </w:tc>
        <w:tc>
          <w:tcPr>
            <w:tcW w:w="374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535A77B" w14:textId="77777777" w:rsidR="006A213E" w:rsidRDefault="00000000">
            <w:pPr>
              <w:pStyle w:val="BodyTight"/>
              <w:spacing w:after="0"/>
            </w:pPr>
            <w:r>
              <w:rPr>
                <w:sz w:val="18"/>
              </w:rPr>
              <w:t>Pruning requires finalized checkpoint watermark, expired evidence-retention timer, and archive acknowledgement or proof of export.</w:t>
            </w:r>
          </w:p>
        </w:tc>
        <w:tc>
          <w:tcPr>
            <w:tcW w:w="259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666D64E" w14:textId="77777777" w:rsidR="006A213E" w:rsidRDefault="00000000">
            <w:pPr>
              <w:pStyle w:val="BodyTight"/>
              <w:spacing w:after="0"/>
            </w:pPr>
            <w:r>
              <w:rPr>
                <w:sz w:val="18"/>
              </w:rPr>
              <w:t>Any missing prerequisite must block pruning automatically.</w:t>
            </w:r>
          </w:p>
        </w:tc>
      </w:tr>
      <w:tr w:rsidR="006A213E" w14:paraId="0B2FF088"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3E285DBA" w14:textId="77777777" w:rsidR="006A213E" w:rsidRDefault="00000000">
            <w:pPr>
              <w:pStyle w:val="BodyTight"/>
              <w:spacing w:after="0"/>
              <w:jc w:val="center"/>
            </w:pPr>
            <w:r>
              <w:rPr>
                <w:b/>
                <w:sz w:val="18"/>
              </w:rPr>
              <w:t>3</w:t>
            </w:r>
          </w:p>
        </w:tc>
        <w:tc>
          <w:tcPr>
            <w:tcW w:w="175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DA07E24" w14:textId="77777777" w:rsidR="006A213E" w:rsidRDefault="00000000">
            <w:pPr>
              <w:pStyle w:val="BodyTight"/>
              <w:spacing w:after="0"/>
            </w:pPr>
            <w:r>
              <w:rPr>
                <w:sz w:val="18"/>
              </w:rPr>
              <w:t>Make recovery proof-backed</w:t>
            </w:r>
          </w:p>
        </w:tc>
        <w:tc>
          <w:tcPr>
            <w:tcW w:w="374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1140632" w14:textId="77777777" w:rsidR="006A213E" w:rsidRDefault="00000000">
            <w:pPr>
              <w:pStyle w:val="BodyTight"/>
              <w:spacing w:after="0"/>
            </w:pPr>
            <w:r>
              <w:rPr>
                <w:sz w:val="18"/>
              </w:rPr>
              <w:t>Restore logic must verify certificate signer sets, checkpoint lineage, object hashes, and epoch scope before admitting recovered data.</w:t>
            </w:r>
          </w:p>
        </w:tc>
        <w:tc>
          <w:tcPr>
            <w:tcW w:w="259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83E5AD7" w14:textId="77777777" w:rsidR="006A213E" w:rsidRDefault="00000000">
            <w:pPr>
              <w:pStyle w:val="BodyTight"/>
              <w:spacing w:after="0"/>
            </w:pPr>
            <w:r>
              <w:rPr>
                <w:sz w:val="18"/>
              </w:rPr>
              <w:t>Recovery from a corrupted peer must fail closed rather than silently heal to a bad state.</w:t>
            </w:r>
          </w:p>
        </w:tc>
      </w:tr>
      <w:tr w:rsidR="006A213E" w14:paraId="2F652434"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92B4B2D" w14:textId="77777777" w:rsidR="006A213E" w:rsidRDefault="00000000">
            <w:pPr>
              <w:pStyle w:val="BodyTight"/>
              <w:spacing w:after="0"/>
              <w:jc w:val="center"/>
            </w:pPr>
            <w:r>
              <w:rPr>
                <w:b/>
                <w:sz w:val="18"/>
              </w:rPr>
              <w:t>4</w:t>
            </w:r>
          </w:p>
        </w:tc>
        <w:tc>
          <w:tcPr>
            <w:tcW w:w="175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CEFD8EA" w14:textId="77777777" w:rsidR="006A213E" w:rsidRDefault="00000000">
            <w:pPr>
              <w:pStyle w:val="BodyTight"/>
              <w:spacing w:after="0"/>
            </w:pPr>
            <w:r>
              <w:rPr>
                <w:sz w:val="18"/>
              </w:rPr>
              <w:t>Define DAG RPC exposure classes</w:t>
            </w:r>
          </w:p>
        </w:tc>
        <w:tc>
          <w:tcPr>
            <w:tcW w:w="374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38613B23" w14:textId="77777777" w:rsidR="006A213E" w:rsidRDefault="00000000">
            <w:pPr>
              <w:pStyle w:val="BodyTight"/>
              <w:spacing w:after="0"/>
            </w:pPr>
            <w:r>
              <w:rPr>
                <w:sz w:val="18"/>
              </w:rPr>
              <w:t>Each method family must declare whether it is public read, validator-private, operator, or audit-only and must enforce that class in transport and auth policy.</w:t>
            </w:r>
          </w:p>
        </w:tc>
        <w:tc>
          <w:tcPr>
            <w:tcW w:w="259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526750D" w14:textId="77777777" w:rsidR="006A213E" w:rsidRDefault="00000000">
            <w:pPr>
              <w:pStyle w:val="BodyTight"/>
              <w:spacing w:after="0"/>
            </w:pPr>
            <w:r>
              <w:rPr>
                <w:sz w:val="18"/>
              </w:rPr>
              <w:t>Public deployment scans must show zero operator or validator-private DAG methods exposed on public profiles.</w:t>
            </w:r>
          </w:p>
        </w:tc>
      </w:tr>
      <w:tr w:rsidR="006A213E" w14:paraId="4E7A3F09"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62AA65F" w14:textId="77777777" w:rsidR="006A213E" w:rsidRDefault="00000000">
            <w:pPr>
              <w:pStyle w:val="BodyTight"/>
              <w:spacing w:after="0"/>
              <w:jc w:val="center"/>
            </w:pPr>
            <w:r>
              <w:rPr>
                <w:b/>
                <w:sz w:val="18"/>
              </w:rPr>
              <w:t>5</w:t>
            </w:r>
          </w:p>
        </w:tc>
        <w:tc>
          <w:tcPr>
            <w:tcW w:w="175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3D3D6F4A" w14:textId="77777777" w:rsidR="006A213E" w:rsidRDefault="00000000">
            <w:pPr>
              <w:pStyle w:val="BodyTight"/>
              <w:spacing w:after="0"/>
            </w:pPr>
            <w:r>
              <w:rPr>
                <w:sz w:val="18"/>
              </w:rPr>
              <w:t>Audit every privileged DAG action</w:t>
            </w:r>
          </w:p>
        </w:tc>
        <w:tc>
          <w:tcPr>
            <w:tcW w:w="374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8E34F7C" w14:textId="77777777" w:rsidR="006A213E" w:rsidRDefault="00000000">
            <w:pPr>
              <w:pStyle w:val="BodyTight"/>
              <w:spacing w:after="0"/>
            </w:pPr>
            <w:r>
              <w:rPr>
                <w:sz w:val="18"/>
              </w:rPr>
              <w:t>Prune, replay, quarantine release, fallback activation, and private repair operations must emit immutable operator audit events.</w:t>
            </w:r>
          </w:p>
        </w:tc>
        <w:tc>
          <w:tcPr>
            <w:tcW w:w="259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36D2D93" w14:textId="77777777" w:rsidR="006A213E" w:rsidRDefault="00000000">
            <w:pPr>
              <w:pStyle w:val="BodyTight"/>
              <w:spacing w:after="0"/>
            </w:pPr>
            <w:r>
              <w:rPr>
                <w:sz w:val="18"/>
              </w:rPr>
              <w:t>Operator log tampering attempts must be detectable and reviewable.</w:t>
            </w:r>
          </w:p>
        </w:tc>
      </w:tr>
      <w:tr w:rsidR="006A213E" w14:paraId="34FE226B"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2D125EB" w14:textId="77777777" w:rsidR="006A213E" w:rsidRDefault="00000000">
            <w:pPr>
              <w:pStyle w:val="BodyTight"/>
              <w:spacing w:after="0"/>
              <w:jc w:val="center"/>
            </w:pPr>
            <w:r>
              <w:rPr>
                <w:b/>
                <w:sz w:val="18"/>
              </w:rPr>
              <w:t>6</w:t>
            </w:r>
          </w:p>
        </w:tc>
        <w:tc>
          <w:tcPr>
            <w:tcW w:w="175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CA8868E" w14:textId="77777777" w:rsidR="006A213E" w:rsidRDefault="00000000">
            <w:pPr>
              <w:pStyle w:val="BodyTight"/>
              <w:spacing w:after="0"/>
            </w:pPr>
            <w:r>
              <w:rPr>
                <w:sz w:val="18"/>
              </w:rPr>
              <w:t>Implement quarantine and safe fallback</w:t>
            </w:r>
          </w:p>
        </w:tc>
        <w:tc>
          <w:tcPr>
            <w:tcW w:w="374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83EDBCA" w14:textId="77777777" w:rsidR="006A213E" w:rsidRDefault="00000000">
            <w:pPr>
              <w:pStyle w:val="BodyTight"/>
              <w:spacing w:after="0"/>
            </w:pPr>
            <w:r>
              <w:rPr>
                <w:sz w:val="18"/>
              </w:rPr>
              <w:t>Nodes with unproved DAG state must stop DAG-influenced ordering and either await recovery or revert to the narrowly defined safe fallback profile.</w:t>
            </w:r>
          </w:p>
        </w:tc>
        <w:tc>
          <w:tcPr>
            <w:tcW w:w="259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3E82A4EE" w14:textId="77777777" w:rsidR="006A213E" w:rsidRDefault="00000000">
            <w:pPr>
              <w:pStyle w:val="BodyTight"/>
              <w:spacing w:after="0"/>
            </w:pPr>
            <w:r>
              <w:rPr>
                <w:sz w:val="18"/>
              </w:rPr>
              <w:t>Fallback activation must never bypass QC or invent unproved DAG data.</w:t>
            </w:r>
          </w:p>
        </w:tc>
      </w:tr>
      <w:tr w:rsidR="006A213E" w14:paraId="45B448A9"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47B2230" w14:textId="77777777" w:rsidR="006A213E" w:rsidRDefault="00000000">
            <w:pPr>
              <w:pStyle w:val="BodyTight"/>
              <w:spacing w:after="0"/>
              <w:jc w:val="center"/>
            </w:pPr>
            <w:r>
              <w:rPr>
                <w:b/>
                <w:sz w:val="18"/>
              </w:rPr>
              <w:t>7</w:t>
            </w:r>
          </w:p>
        </w:tc>
        <w:tc>
          <w:tcPr>
            <w:tcW w:w="175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2DB5192" w14:textId="77777777" w:rsidR="006A213E" w:rsidRDefault="00000000">
            <w:pPr>
              <w:pStyle w:val="BodyTight"/>
              <w:spacing w:after="0"/>
            </w:pPr>
            <w:r>
              <w:rPr>
                <w:sz w:val="18"/>
              </w:rPr>
              <w:t>Protect public observability surfaces</w:t>
            </w:r>
          </w:p>
        </w:tc>
        <w:tc>
          <w:tcPr>
            <w:tcW w:w="374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2D5287A" w14:textId="77777777" w:rsidR="006A213E" w:rsidRDefault="00000000">
            <w:pPr>
              <w:pStyle w:val="BodyTight"/>
              <w:spacing w:after="0"/>
            </w:pPr>
            <w:r>
              <w:rPr>
                <w:sz w:val="18"/>
              </w:rPr>
              <w:t>Metrics and status endpoints must aggregate and redact enough detail that they support operations without leaking private batch or repair data.</w:t>
            </w:r>
          </w:p>
        </w:tc>
        <w:tc>
          <w:tcPr>
            <w:tcW w:w="259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67EB361" w14:textId="77777777" w:rsidR="006A213E" w:rsidRDefault="00000000">
            <w:pPr>
              <w:pStyle w:val="BodyTight"/>
              <w:spacing w:after="0"/>
            </w:pPr>
            <w:r>
              <w:rPr>
                <w:sz w:val="18"/>
              </w:rPr>
              <w:t>Security review must confirm that status endpoints do not materially aid target selection.</w:t>
            </w:r>
          </w:p>
        </w:tc>
      </w:tr>
      <w:tr w:rsidR="006A213E" w14:paraId="6EB8493F" w14:textId="77777777">
        <w:trPr>
          <w:cantSplit/>
          <w:jc w:val="center"/>
        </w:trPr>
        <w:tc>
          <w:tcPr>
            <w:tcW w:w="691"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30544C9E" w14:textId="77777777" w:rsidR="006A213E" w:rsidRDefault="00000000">
            <w:pPr>
              <w:pStyle w:val="BodyTight"/>
              <w:spacing w:after="0"/>
              <w:jc w:val="center"/>
            </w:pPr>
            <w:r>
              <w:rPr>
                <w:b/>
                <w:sz w:val="18"/>
              </w:rPr>
              <w:t>8</w:t>
            </w:r>
          </w:p>
        </w:tc>
        <w:tc>
          <w:tcPr>
            <w:tcW w:w="175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D0C1F58" w14:textId="77777777" w:rsidR="006A213E" w:rsidRDefault="00000000">
            <w:pPr>
              <w:pStyle w:val="BodyTight"/>
              <w:spacing w:after="0"/>
            </w:pPr>
            <w:r>
              <w:rPr>
                <w:sz w:val="18"/>
              </w:rPr>
              <w:t>Delay and sign DAG safety-parameter changes</w:t>
            </w:r>
          </w:p>
        </w:tc>
        <w:tc>
          <w:tcPr>
            <w:tcW w:w="374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51B338F" w14:textId="77777777" w:rsidR="006A213E" w:rsidRDefault="00000000">
            <w:pPr>
              <w:pStyle w:val="BodyTight"/>
              <w:spacing w:after="0"/>
            </w:pPr>
            <w:r>
              <w:rPr>
                <w:sz w:val="18"/>
              </w:rPr>
              <w:t>Governance and operator tooling must treat threshold, pruning, retention, and exposure changes as signed, delayed activations.</w:t>
            </w:r>
          </w:p>
        </w:tc>
        <w:tc>
          <w:tcPr>
            <w:tcW w:w="259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3F95BE74" w14:textId="77777777" w:rsidR="006A213E" w:rsidRDefault="00000000">
            <w:pPr>
              <w:pStyle w:val="BodyTight"/>
              <w:spacing w:after="0"/>
            </w:pPr>
            <w:r>
              <w:rPr>
                <w:sz w:val="18"/>
              </w:rPr>
              <w:t>No immediate unsafe parameter flip may take effect on a live cluster.</w:t>
            </w:r>
          </w:p>
        </w:tc>
      </w:tr>
    </w:tbl>
    <w:p w14:paraId="2EDEDF50" w14:textId="77777777" w:rsidR="006A213E" w:rsidRDefault="00000000">
      <w:pPr>
        <w:pStyle w:val="Heading3"/>
      </w:pPr>
      <w:r>
        <w:rPr>
          <w:rFonts w:ascii="Arial" w:eastAsia="Arial" w:hAnsi="Arial"/>
        </w:rPr>
        <w:t>17.4 Verification Tests</w:t>
      </w:r>
    </w:p>
    <w:tbl>
      <w:tblPr>
        <w:tblW w:w="0" w:type="auto"/>
        <w:jc w:val="center"/>
        <w:tblLayout w:type="fixed"/>
        <w:tblLook w:val="04A0" w:firstRow="1" w:lastRow="0" w:firstColumn="1" w:lastColumn="0" w:noHBand="0" w:noVBand="1"/>
      </w:tblPr>
      <w:tblGrid>
        <w:gridCol w:w="8784"/>
      </w:tblGrid>
      <w:tr w:rsidR="006A213E" w14:paraId="5920E10A"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3729C96B" w14:textId="77777777" w:rsidR="006A213E" w:rsidRDefault="00000000">
            <w:pPr>
              <w:pStyle w:val="BodyTight"/>
              <w:spacing w:after="40"/>
            </w:pPr>
            <w:r>
              <w:rPr>
                <w:b/>
                <w:color w:val="1F4E78"/>
                <w:sz w:val="19"/>
              </w:rPr>
              <w:t xml:space="preserve">TEST SUITE 17A — Premature Pruning Block  </w:t>
            </w:r>
            <w:r>
              <w:rPr>
                <w:sz w:val="19"/>
              </w:rPr>
              <w:t>Attempt to prune certified DAG material before retention expiry or before archive acknowledgement. The node must block the operation and emit an operator audit event.</w:t>
            </w:r>
          </w:p>
        </w:tc>
      </w:tr>
      <w:tr w:rsidR="006A213E" w14:paraId="340B0881"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5D662E4C" w14:textId="77777777" w:rsidR="006A213E" w:rsidRDefault="00000000">
            <w:pPr>
              <w:pStyle w:val="BodyTight"/>
              <w:spacing w:after="40"/>
            </w:pPr>
            <w:r>
              <w:rPr>
                <w:b/>
                <w:color w:val="1F4E78"/>
                <w:sz w:val="19"/>
              </w:rPr>
              <w:t xml:space="preserve">TEST SUITE 17B — Corrupted Recovery Source  </w:t>
            </w:r>
            <w:r>
              <w:rPr>
                <w:sz w:val="19"/>
              </w:rPr>
              <w:t>Restore from a peer that serves valid-looking but inconsistent checkpoints or signer sets. The node must quarantine rather than merge the bad state into local operation.</w:t>
            </w:r>
          </w:p>
        </w:tc>
      </w:tr>
      <w:tr w:rsidR="006A213E" w14:paraId="3540D472"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2652101C" w14:textId="77777777" w:rsidR="006A213E" w:rsidRDefault="00000000">
            <w:pPr>
              <w:pStyle w:val="BodyTight"/>
              <w:spacing w:after="40"/>
            </w:pPr>
            <w:r>
              <w:rPr>
                <w:b/>
                <w:color w:val="1F4E78"/>
                <w:sz w:val="19"/>
              </w:rPr>
              <w:t xml:space="preserve">TEST SUITE 17C — Public RPC Exposure Scan  </w:t>
            </w:r>
            <w:r>
              <w:rPr>
                <w:sz w:val="19"/>
              </w:rPr>
              <w:t>Enumerate every DAG endpoint from a public profile. Only safe summary and proof-reference methods may be reachable; validator-private, operator, and audit methods must remain inaccessible.</w:t>
            </w:r>
          </w:p>
        </w:tc>
      </w:tr>
      <w:tr w:rsidR="006A213E" w14:paraId="3BA4BB46"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1322DDD4" w14:textId="77777777" w:rsidR="006A213E" w:rsidRDefault="00000000">
            <w:pPr>
              <w:pStyle w:val="BodyTight"/>
              <w:spacing w:after="40"/>
            </w:pPr>
            <w:r>
              <w:rPr>
                <w:b/>
                <w:color w:val="1F4E78"/>
                <w:sz w:val="19"/>
              </w:rPr>
              <w:t xml:space="preserve">TEST SUITE 17D — Audit Trail Integrity  </w:t>
            </w:r>
            <w:r>
              <w:rPr>
                <w:sz w:val="19"/>
              </w:rPr>
              <w:t>Perform prune, replay, quarantine release, and safe-fallback activation actions. Every action must create immutable operator audit records with actor identity and timestamp.</w:t>
            </w:r>
          </w:p>
        </w:tc>
      </w:tr>
      <w:tr w:rsidR="006A213E" w14:paraId="5F3829E0"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39B13B2E" w14:textId="77777777" w:rsidR="006A213E" w:rsidRDefault="00000000">
            <w:pPr>
              <w:pStyle w:val="BodyTight"/>
              <w:spacing w:after="40"/>
            </w:pPr>
            <w:r>
              <w:rPr>
                <w:b/>
                <w:color w:val="1F4E78"/>
                <w:sz w:val="19"/>
              </w:rPr>
              <w:t xml:space="preserve">TEST SUITE 17E — Evidence Retention Through Restart  </w:t>
            </w:r>
            <w:r>
              <w:rPr>
                <w:sz w:val="19"/>
              </w:rPr>
              <w:t>Create slashable DAG evidence, restart the node, and confirm that evidence remains locally retrievable and exportable to audit roles.</w:t>
            </w:r>
          </w:p>
        </w:tc>
      </w:tr>
      <w:tr w:rsidR="006A213E" w14:paraId="344A24F0" w14:textId="77777777">
        <w:trPr>
          <w:jc w:val="center"/>
        </w:trPr>
        <w:tc>
          <w:tcPr>
            <w:tcW w:w="8784" w:type="dxa"/>
            <w:tcBorders>
              <w:top w:val="single" w:sz="10" w:space="0" w:color="B8CADB"/>
              <w:left w:val="single" w:sz="10" w:space="0" w:color="B8CADB"/>
              <w:bottom w:val="single" w:sz="10" w:space="0" w:color="B8CADB"/>
              <w:right w:val="single" w:sz="10" w:space="0" w:color="B8CADB"/>
            </w:tcBorders>
            <w:shd w:val="clear" w:color="auto" w:fill="FFFFFF"/>
            <w:tcMar>
              <w:top w:w="90" w:type="dxa"/>
              <w:left w:w="120" w:type="dxa"/>
              <w:bottom w:w="90" w:type="dxa"/>
              <w:right w:w="120" w:type="dxa"/>
            </w:tcMar>
          </w:tcPr>
          <w:p w14:paraId="08AB723C" w14:textId="77777777" w:rsidR="006A213E" w:rsidRDefault="00000000">
            <w:pPr>
              <w:pStyle w:val="BodyTight"/>
              <w:spacing w:after="40"/>
            </w:pPr>
            <w:r>
              <w:rPr>
                <w:b/>
                <w:color w:val="1F4E78"/>
                <w:sz w:val="19"/>
              </w:rPr>
              <w:lastRenderedPageBreak/>
              <w:t xml:space="preserve">TEST SUITE 17F — Unsafe Parameter Change Delay  </w:t>
            </w:r>
            <w:r>
              <w:rPr>
                <w:sz w:val="19"/>
              </w:rPr>
              <w:t>Attempt to lower certificate thresholds or shorten evidence retention immediately. The activation must be delayed, authorized, and vetoed if it violates mandatory invariants.</w:t>
            </w:r>
          </w:p>
        </w:tc>
      </w:tr>
    </w:tbl>
    <w:p w14:paraId="1B77ED6C" w14:textId="77777777" w:rsidR="006A213E" w:rsidRDefault="00000000">
      <w:pPr>
        <w:pStyle w:val="Heading1"/>
      </w:pPr>
      <w:r>
        <w:rPr>
          <w:rFonts w:ascii="Arial" w:eastAsia="Arial" w:hAnsi="Arial"/>
        </w:rPr>
        <w:t>DAG Security Control Matrix</w:t>
      </w:r>
    </w:p>
    <w:p w14:paraId="62DC00BA" w14:textId="77777777" w:rsidR="006A213E" w:rsidRDefault="00000000">
      <w:r>
        <w:t>This matrix condenses the DAG threat surface into primary enforcement points. It is intended for protocol engineering reviews, validator runbooks, and external auditors who need a clear mapping from failure mode to control stack.</w:t>
      </w:r>
    </w:p>
    <w:tbl>
      <w:tblPr>
        <w:tblW w:w="0" w:type="auto"/>
        <w:jc w:val="center"/>
        <w:tblLayout w:type="fixed"/>
        <w:tblLook w:val="04A0" w:firstRow="1" w:lastRow="0" w:firstColumn="1" w:lastColumn="0" w:noHBand="0" w:noVBand="1"/>
      </w:tblPr>
      <w:tblGrid>
        <w:gridCol w:w="1987"/>
        <w:gridCol w:w="2275"/>
        <w:gridCol w:w="2232"/>
        <w:gridCol w:w="2289"/>
      </w:tblGrid>
      <w:tr w:rsidR="006A213E" w14:paraId="2E55273B" w14:textId="77777777">
        <w:trPr>
          <w:cantSplit/>
          <w:tblHeader/>
          <w:jc w:val="center"/>
        </w:trPr>
        <w:tc>
          <w:tcPr>
            <w:tcW w:w="1987"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2D14DE20" w14:textId="77777777" w:rsidR="006A213E" w:rsidRDefault="00000000">
            <w:pPr>
              <w:pStyle w:val="BodyTight"/>
              <w:spacing w:after="0"/>
              <w:jc w:val="center"/>
            </w:pPr>
            <w:r>
              <w:rPr>
                <w:b/>
                <w:color w:val="FFFFFF"/>
                <w:sz w:val="19"/>
              </w:rPr>
              <w:t>Risk</w:t>
            </w:r>
          </w:p>
        </w:tc>
        <w:tc>
          <w:tcPr>
            <w:tcW w:w="2275"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149A4373" w14:textId="77777777" w:rsidR="006A213E" w:rsidRDefault="00000000">
            <w:pPr>
              <w:pStyle w:val="BodyTight"/>
              <w:spacing w:after="0"/>
              <w:jc w:val="center"/>
            </w:pPr>
            <w:r>
              <w:rPr>
                <w:b/>
                <w:color w:val="FFFFFF"/>
                <w:sz w:val="19"/>
              </w:rPr>
              <w:t>Primary control</w:t>
            </w:r>
          </w:p>
        </w:tc>
        <w:tc>
          <w:tcPr>
            <w:tcW w:w="2232"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7D1A53BD" w14:textId="77777777" w:rsidR="006A213E" w:rsidRDefault="00000000">
            <w:pPr>
              <w:pStyle w:val="BodyTight"/>
              <w:spacing w:after="0"/>
              <w:jc w:val="center"/>
            </w:pPr>
            <w:r>
              <w:rPr>
                <w:b/>
                <w:color w:val="FFFFFF"/>
                <w:sz w:val="19"/>
              </w:rPr>
              <w:t>Secondary control</w:t>
            </w:r>
          </w:p>
        </w:tc>
        <w:tc>
          <w:tcPr>
            <w:tcW w:w="2289"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760B6601" w14:textId="77777777" w:rsidR="006A213E" w:rsidRDefault="00000000">
            <w:pPr>
              <w:pStyle w:val="BodyTight"/>
              <w:spacing w:after="0"/>
              <w:jc w:val="center"/>
            </w:pPr>
            <w:r>
              <w:rPr>
                <w:b/>
                <w:color w:val="FFFFFF"/>
                <w:sz w:val="19"/>
              </w:rPr>
              <w:t>Evidence / response</w:t>
            </w:r>
          </w:p>
        </w:tc>
      </w:tr>
      <w:tr w:rsidR="006A213E" w14:paraId="0FEF4D24"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3CEC772" w14:textId="77777777" w:rsidR="006A213E" w:rsidRDefault="00000000">
            <w:pPr>
              <w:pStyle w:val="BodyTight"/>
              <w:spacing w:after="0"/>
              <w:jc w:val="center"/>
            </w:pPr>
            <w:r>
              <w:rPr>
                <w:b/>
                <w:sz w:val="18"/>
              </w:rPr>
              <w:t>False availability receipt</w:t>
            </w:r>
          </w:p>
        </w:tc>
        <w:tc>
          <w:tcPr>
            <w:tcW w:w="227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EC61F0D" w14:textId="77777777" w:rsidR="006A213E" w:rsidRDefault="00000000">
            <w:pPr>
              <w:pStyle w:val="BodyTight"/>
              <w:spacing w:after="0"/>
            </w:pPr>
            <w:r>
              <w:rPr>
                <w:sz w:val="18"/>
              </w:rPr>
              <w:t>Durable fetch-and-persist required before receipt issuance.</w:t>
            </w:r>
          </w:p>
        </w:tc>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1A2303C" w14:textId="77777777" w:rsidR="006A213E" w:rsidRDefault="00000000">
            <w:pPr>
              <w:pStyle w:val="BodyTight"/>
              <w:spacing w:after="0"/>
            </w:pPr>
            <w:r>
              <w:rPr>
                <w:sz w:val="18"/>
              </w:rPr>
              <w:t>Certificate assembler rejects malformed or duplicate signers.</w:t>
            </w:r>
          </w:p>
        </w:tc>
        <w:tc>
          <w:tcPr>
            <w:tcW w:w="2289"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62120AD" w14:textId="77777777" w:rsidR="006A213E" w:rsidRDefault="00000000">
            <w:pPr>
              <w:pStyle w:val="BodyTight"/>
              <w:spacing w:after="0"/>
            </w:pPr>
            <w:r>
              <w:rPr>
                <w:sz w:val="18"/>
              </w:rPr>
              <w:t>Receipt fraud evidence; penalty and quarantine.</w:t>
            </w:r>
          </w:p>
        </w:tc>
      </w:tr>
      <w:tr w:rsidR="006A213E" w14:paraId="78D026D8"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A6F0BB5" w14:textId="77777777" w:rsidR="006A213E" w:rsidRDefault="00000000">
            <w:pPr>
              <w:pStyle w:val="BodyTight"/>
              <w:spacing w:after="0"/>
              <w:jc w:val="center"/>
            </w:pPr>
            <w:r>
              <w:rPr>
                <w:b/>
                <w:sz w:val="18"/>
              </w:rPr>
              <w:t>Batch withholding</w:t>
            </w:r>
          </w:p>
        </w:tc>
        <w:tc>
          <w:tcPr>
            <w:tcW w:w="227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1211058" w14:textId="77777777" w:rsidR="006A213E" w:rsidRDefault="00000000">
            <w:pPr>
              <w:pStyle w:val="BodyTight"/>
              <w:spacing w:after="0"/>
            </w:pPr>
            <w:r>
              <w:rPr>
                <w:sz w:val="18"/>
              </w:rPr>
              <w:t>Availability before ordering; certification threshold.</w:t>
            </w:r>
          </w:p>
        </w:tc>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C7CE7E5" w14:textId="77777777" w:rsidR="006A213E" w:rsidRDefault="00000000">
            <w:pPr>
              <w:pStyle w:val="BodyTight"/>
              <w:spacing w:after="0"/>
            </w:pPr>
            <w:r>
              <w:rPr>
                <w:sz w:val="18"/>
              </w:rPr>
              <w:t>Repair path and missing-blob diagnostics.</w:t>
            </w:r>
          </w:p>
        </w:tc>
        <w:tc>
          <w:tcPr>
            <w:tcW w:w="2289"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ED9138F" w14:textId="77777777" w:rsidR="006A213E" w:rsidRDefault="00000000">
            <w:pPr>
              <w:pStyle w:val="BodyTight"/>
              <w:spacing w:after="0"/>
            </w:pPr>
            <w:r>
              <w:rPr>
                <w:sz w:val="18"/>
              </w:rPr>
              <w:t>Withholding bundle; author penalty.</w:t>
            </w:r>
          </w:p>
        </w:tc>
      </w:tr>
      <w:tr w:rsidR="006A213E" w14:paraId="3567E9EF"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646F1AC3" w14:textId="77777777" w:rsidR="006A213E" w:rsidRDefault="00000000">
            <w:pPr>
              <w:pStyle w:val="BodyTight"/>
              <w:spacing w:after="0"/>
              <w:jc w:val="center"/>
            </w:pPr>
            <w:r>
              <w:rPr>
                <w:b/>
                <w:sz w:val="18"/>
              </w:rPr>
              <w:t>Missing-parent poisoning</w:t>
            </w:r>
          </w:p>
        </w:tc>
        <w:tc>
          <w:tcPr>
            <w:tcW w:w="227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5629311" w14:textId="77777777" w:rsidR="006A213E" w:rsidRDefault="00000000">
            <w:pPr>
              <w:pStyle w:val="BodyTight"/>
              <w:spacing w:after="0"/>
            </w:pPr>
            <w:r>
              <w:rPr>
                <w:sz w:val="18"/>
              </w:rPr>
              <w:t>Explicit fetch flow and bounded retry logic.</w:t>
            </w:r>
          </w:p>
        </w:tc>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1B0C00E" w14:textId="77777777" w:rsidR="006A213E" w:rsidRDefault="00000000">
            <w:pPr>
              <w:pStyle w:val="BodyTight"/>
              <w:spacing w:after="0"/>
            </w:pPr>
            <w:r>
              <w:rPr>
                <w:sz w:val="18"/>
              </w:rPr>
              <w:t>Peer budget separation for fetch traffic.</w:t>
            </w:r>
          </w:p>
        </w:tc>
        <w:tc>
          <w:tcPr>
            <w:tcW w:w="2289"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4C49A7F" w14:textId="77777777" w:rsidR="006A213E" w:rsidRDefault="00000000">
            <w:pPr>
              <w:pStyle w:val="BodyTight"/>
              <w:spacing w:after="0"/>
            </w:pPr>
            <w:r>
              <w:rPr>
                <w:sz w:val="18"/>
              </w:rPr>
              <w:t>Peer score reduction; evidence if malicious.</w:t>
            </w:r>
          </w:p>
        </w:tc>
      </w:tr>
      <w:tr w:rsidR="006A213E" w14:paraId="655ECDF3"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E864086" w14:textId="77777777" w:rsidR="006A213E" w:rsidRDefault="00000000">
            <w:pPr>
              <w:pStyle w:val="BodyTight"/>
              <w:spacing w:after="0"/>
              <w:jc w:val="center"/>
            </w:pPr>
            <w:r>
              <w:rPr>
                <w:b/>
                <w:sz w:val="18"/>
              </w:rPr>
              <w:t>Clique parent selection</w:t>
            </w:r>
          </w:p>
        </w:tc>
        <w:tc>
          <w:tcPr>
            <w:tcW w:w="227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F66588E" w14:textId="77777777" w:rsidR="006A213E" w:rsidRDefault="00000000">
            <w:pPr>
              <w:pStyle w:val="BodyTight"/>
              <w:spacing w:after="0"/>
            </w:pPr>
            <w:r>
              <w:rPr>
                <w:sz w:val="18"/>
              </w:rPr>
              <w:t>Parent-diversity minimums in validation.</w:t>
            </w:r>
          </w:p>
        </w:tc>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4600D71" w14:textId="77777777" w:rsidR="006A213E" w:rsidRDefault="00000000">
            <w:pPr>
              <w:pStyle w:val="BodyTight"/>
              <w:spacing w:after="0"/>
            </w:pPr>
            <w:r>
              <w:rPr>
                <w:sz w:val="18"/>
              </w:rPr>
              <w:t>Frontier health metrics and audit review.</w:t>
            </w:r>
          </w:p>
        </w:tc>
        <w:tc>
          <w:tcPr>
            <w:tcW w:w="2289"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3F050F5" w14:textId="77777777" w:rsidR="006A213E" w:rsidRDefault="00000000">
            <w:pPr>
              <w:pStyle w:val="BodyTight"/>
              <w:spacing w:after="0"/>
            </w:pPr>
            <w:r>
              <w:rPr>
                <w:sz w:val="18"/>
              </w:rPr>
              <w:t>Reject or deprioritize clique-biased vertices.</w:t>
            </w:r>
          </w:p>
        </w:tc>
      </w:tr>
      <w:tr w:rsidR="006A213E" w14:paraId="27B7763C"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10FC25E" w14:textId="77777777" w:rsidR="006A213E" w:rsidRDefault="00000000">
            <w:pPr>
              <w:pStyle w:val="BodyTight"/>
              <w:spacing w:after="0"/>
              <w:jc w:val="center"/>
            </w:pPr>
            <w:r>
              <w:rPr>
                <w:b/>
                <w:sz w:val="18"/>
              </w:rPr>
              <w:t>Frontier flood / spam</w:t>
            </w:r>
          </w:p>
        </w:tc>
        <w:tc>
          <w:tcPr>
            <w:tcW w:w="227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4A03084" w14:textId="77777777" w:rsidR="006A213E" w:rsidRDefault="00000000">
            <w:pPr>
              <w:pStyle w:val="BodyTight"/>
              <w:spacing w:after="0"/>
            </w:pPr>
            <w:r>
              <w:rPr>
                <w:sz w:val="18"/>
              </w:rPr>
              <w:t>Per-peer byte budgets and queue partitioning.</w:t>
            </w:r>
          </w:p>
        </w:tc>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07223C7" w14:textId="77777777" w:rsidR="006A213E" w:rsidRDefault="00000000">
            <w:pPr>
              <w:pStyle w:val="BodyTight"/>
              <w:spacing w:after="0"/>
            </w:pPr>
            <w:r>
              <w:rPr>
                <w:sz w:val="18"/>
              </w:rPr>
              <w:t>Author rate limits and admission windows.</w:t>
            </w:r>
          </w:p>
        </w:tc>
        <w:tc>
          <w:tcPr>
            <w:tcW w:w="2289"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5D356D8" w14:textId="77777777" w:rsidR="006A213E" w:rsidRDefault="00000000">
            <w:pPr>
              <w:pStyle w:val="BodyTight"/>
              <w:spacing w:after="0"/>
            </w:pPr>
            <w:r>
              <w:rPr>
                <w:sz w:val="18"/>
              </w:rPr>
              <w:t>Automatic throttling and operator alert.</w:t>
            </w:r>
          </w:p>
        </w:tc>
      </w:tr>
      <w:tr w:rsidR="006A213E" w14:paraId="0D623D3D"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43FA680" w14:textId="77777777" w:rsidR="006A213E" w:rsidRDefault="00000000">
            <w:pPr>
              <w:pStyle w:val="BodyTight"/>
              <w:spacing w:after="0"/>
              <w:jc w:val="center"/>
            </w:pPr>
            <w:r>
              <w:rPr>
                <w:b/>
                <w:sz w:val="18"/>
              </w:rPr>
              <w:t>Same-round equivocation</w:t>
            </w:r>
          </w:p>
        </w:tc>
        <w:tc>
          <w:tcPr>
            <w:tcW w:w="227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8E35A02" w14:textId="77777777" w:rsidR="006A213E" w:rsidRDefault="00000000">
            <w:pPr>
              <w:pStyle w:val="BodyTight"/>
              <w:spacing w:after="0"/>
            </w:pPr>
            <w:r>
              <w:rPr>
                <w:sz w:val="18"/>
              </w:rPr>
              <w:t>One-author-one-vertex-per-round rule.</w:t>
            </w:r>
          </w:p>
        </w:tc>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500F2F1" w14:textId="77777777" w:rsidR="006A213E" w:rsidRDefault="00000000">
            <w:pPr>
              <w:pStyle w:val="BodyTight"/>
              <w:spacing w:after="0"/>
            </w:pPr>
            <w:r>
              <w:rPr>
                <w:sz w:val="18"/>
              </w:rPr>
              <w:t>Prev-author link and signer identity binding.</w:t>
            </w:r>
          </w:p>
        </w:tc>
        <w:tc>
          <w:tcPr>
            <w:tcW w:w="2289"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3074D6D4" w14:textId="77777777" w:rsidR="006A213E" w:rsidRDefault="00000000">
            <w:pPr>
              <w:pStyle w:val="BodyTight"/>
              <w:spacing w:after="0"/>
            </w:pPr>
            <w:r>
              <w:rPr>
                <w:sz w:val="18"/>
              </w:rPr>
              <w:t>Immediate slashable evidence.</w:t>
            </w:r>
          </w:p>
        </w:tc>
      </w:tr>
      <w:tr w:rsidR="006A213E" w14:paraId="5CE4753B"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CD405CF" w14:textId="77777777" w:rsidR="006A213E" w:rsidRDefault="00000000">
            <w:pPr>
              <w:pStyle w:val="BodyTight"/>
              <w:spacing w:after="0"/>
              <w:jc w:val="center"/>
            </w:pPr>
            <w:r>
              <w:rPr>
                <w:b/>
                <w:sz w:val="18"/>
              </w:rPr>
              <w:t>Epoch replay / bleed</w:t>
            </w:r>
          </w:p>
        </w:tc>
        <w:tc>
          <w:tcPr>
            <w:tcW w:w="227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3CEF95F7" w14:textId="77777777" w:rsidR="006A213E" w:rsidRDefault="00000000">
            <w:pPr>
              <w:pStyle w:val="BodyTight"/>
              <w:spacing w:after="0"/>
            </w:pPr>
            <w:r>
              <w:rPr>
                <w:sz w:val="18"/>
              </w:rPr>
              <w:t>Epoch-scoped IDs, signatures, and caches.</w:t>
            </w:r>
          </w:p>
        </w:tc>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E58EE4F" w14:textId="77777777" w:rsidR="006A213E" w:rsidRDefault="00000000">
            <w:pPr>
              <w:pStyle w:val="BodyTight"/>
              <w:spacing w:after="0"/>
            </w:pPr>
            <w:r>
              <w:rPr>
                <w:sz w:val="18"/>
              </w:rPr>
              <w:t>Hard expiry at epoch transition.</w:t>
            </w:r>
          </w:p>
        </w:tc>
        <w:tc>
          <w:tcPr>
            <w:tcW w:w="2289"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4BB34C6" w14:textId="77777777" w:rsidR="006A213E" w:rsidRDefault="00000000">
            <w:pPr>
              <w:pStyle w:val="BodyTight"/>
              <w:spacing w:after="0"/>
            </w:pPr>
            <w:r>
              <w:rPr>
                <w:sz w:val="18"/>
              </w:rPr>
              <w:t>Reject and record replay attempt.</w:t>
            </w:r>
          </w:p>
        </w:tc>
      </w:tr>
      <w:tr w:rsidR="006A213E" w14:paraId="48828912"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3724874" w14:textId="77777777" w:rsidR="006A213E" w:rsidRDefault="00000000">
            <w:pPr>
              <w:pStyle w:val="BodyTight"/>
              <w:spacing w:after="0"/>
              <w:jc w:val="center"/>
            </w:pPr>
            <w:r>
              <w:rPr>
                <w:b/>
                <w:sz w:val="18"/>
              </w:rPr>
              <w:t>Timestamp manipulation</w:t>
            </w:r>
          </w:p>
        </w:tc>
        <w:tc>
          <w:tcPr>
            <w:tcW w:w="227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25252D3" w14:textId="77777777" w:rsidR="006A213E" w:rsidRDefault="00000000">
            <w:pPr>
              <w:pStyle w:val="BodyTight"/>
              <w:spacing w:after="0"/>
            </w:pPr>
            <w:r>
              <w:rPr>
                <w:sz w:val="18"/>
              </w:rPr>
              <w:t>Timestamp only advisory, not ordering key.</w:t>
            </w:r>
          </w:p>
        </w:tc>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B402378" w14:textId="77777777" w:rsidR="006A213E" w:rsidRDefault="00000000">
            <w:pPr>
              <w:pStyle w:val="BodyTight"/>
              <w:spacing w:after="0"/>
            </w:pPr>
            <w:r>
              <w:rPr>
                <w:sz w:val="18"/>
              </w:rPr>
              <w:t>Bounded skew diagnostics.</w:t>
            </w:r>
          </w:p>
        </w:tc>
        <w:tc>
          <w:tcPr>
            <w:tcW w:w="2289"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69DA2FC" w14:textId="77777777" w:rsidR="006A213E" w:rsidRDefault="00000000">
            <w:pPr>
              <w:pStyle w:val="BodyTight"/>
              <w:spacing w:after="0"/>
            </w:pPr>
            <w:r>
              <w:rPr>
                <w:sz w:val="18"/>
              </w:rPr>
              <w:t>Ignore for ordering; flag offender.</w:t>
            </w:r>
          </w:p>
        </w:tc>
      </w:tr>
      <w:tr w:rsidR="006A213E" w14:paraId="5460DD93"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2D1441D" w14:textId="77777777" w:rsidR="006A213E" w:rsidRDefault="00000000">
            <w:pPr>
              <w:pStyle w:val="BodyTight"/>
              <w:spacing w:after="0"/>
              <w:jc w:val="center"/>
            </w:pPr>
            <w:r>
              <w:rPr>
                <w:b/>
                <w:sz w:val="18"/>
              </w:rPr>
              <w:t>Fraudulent OrderingCut</w:t>
            </w:r>
          </w:p>
        </w:tc>
        <w:tc>
          <w:tcPr>
            <w:tcW w:w="227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12EFECD" w14:textId="77777777" w:rsidR="006A213E" w:rsidRDefault="00000000">
            <w:pPr>
              <w:pStyle w:val="BodyTight"/>
              <w:spacing w:after="0"/>
            </w:pPr>
            <w:r>
              <w:rPr>
                <w:sz w:val="18"/>
              </w:rPr>
              <w:t>Deterministic cut recomputation by every validator.</w:t>
            </w:r>
          </w:p>
        </w:tc>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2F1D863" w14:textId="77777777" w:rsidR="006A213E" w:rsidRDefault="00000000">
            <w:pPr>
              <w:pStyle w:val="BodyTight"/>
              <w:spacing w:after="0"/>
            </w:pPr>
            <w:r>
              <w:rPr>
                <w:sz w:val="18"/>
              </w:rPr>
              <w:t>Block commitment roots for cut and certified set.</w:t>
            </w:r>
          </w:p>
        </w:tc>
        <w:tc>
          <w:tcPr>
            <w:tcW w:w="2289"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307269B" w14:textId="77777777" w:rsidR="006A213E" w:rsidRDefault="00000000">
            <w:pPr>
              <w:pStyle w:val="BodyTight"/>
              <w:spacing w:after="0"/>
            </w:pPr>
            <w:r>
              <w:rPr>
                <w:sz w:val="18"/>
              </w:rPr>
              <w:t>Vote refusal and evidence export.</w:t>
            </w:r>
          </w:p>
        </w:tc>
      </w:tr>
      <w:tr w:rsidR="006A213E" w14:paraId="3C9748E4"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321455E" w14:textId="77777777" w:rsidR="006A213E" w:rsidRDefault="00000000">
            <w:pPr>
              <w:pStyle w:val="BodyTight"/>
              <w:spacing w:after="0"/>
              <w:jc w:val="center"/>
            </w:pPr>
            <w:r>
              <w:rPr>
                <w:b/>
                <w:sz w:val="18"/>
              </w:rPr>
              <w:t>QC / checkpoint mismatch</w:t>
            </w:r>
          </w:p>
        </w:tc>
        <w:tc>
          <w:tcPr>
            <w:tcW w:w="227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E6EEF61" w14:textId="77777777" w:rsidR="006A213E" w:rsidRDefault="00000000">
            <w:pPr>
              <w:pStyle w:val="BodyTight"/>
              <w:spacing w:after="0"/>
            </w:pPr>
            <w:r>
              <w:rPr>
                <w:sz w:val="18"/>
              </w:rPr>
              <w:t>Cross-layer root binding and lineage verification.</w:t>
            </w:r>
          </w:p>
        </w:tc>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0E239FA" w14:textId="77777777" w:rsidR="006A213E" w:rsidRDefault="00000000">
            <w:pPr>
              <w:pStyle w:val="BodyTight"/>
              <w:spacing w:after="0"/>
            </w:pPr>
            <w:r>
              <w:rPr>
                <w:sz w:val="18"/>
              </w:rPr>
              <w:t>Audit reconstruction from archive roles.</w:t>
            </w:r>
          </w:p>
        </w:tc>
        <w:tc>
          <w:tcPr>
            <w:tcW w:w="2289"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1D6E836" w14:textId="77777777" w:rsidR="006A213E" w:rsidRDefault="00000000">
            <w:pPr>
              <w:pStyle w:val="BodyTight"/>
              <w:spacing w:after="0"/>
            </w:pPr>
            <w:r>
              <w:rPr>
                <w:sz w:val="18"/>
              </w:rPr>
              <w:t>Quarantine until lineage is proved.</w:t>
            </w:r>
          </w:p>
        </w:tc>
      </w:tr>
      <w:tr w:rsidR="006A213E" w14:paraId="085DE90D"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2D4348A" w14:textId="77777777" w:rsidR="006A213E" w:rsidRDefault="00000000">
            <w:pPr>
              <w:pStyle w:val="BodyTight"/>
              <w:spacing w:after="0"/>
              <w:jc w:val="center"/>
            </w:pPr>
            <w:r>
              <w:rPr>
                <w:b/>
                <w:sz w:val="18"/>
              </w:rPr>
              <w:t>Pruning corruption</w:t>
            </w:r>
          </w:p>
        </w:tc>
        <w:tc>
          <w:tcPr>
            <w:tcW w:w="227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1F04036" w14:textId="77777777" w:rsidR="006A213E" w:rsidRDefault="00000000">
            <w:pPr>
              <w:pStyle w:val="BodyTight"/>
              <w:spacing w:after="0"/>
            </w:pPr>
            <w:r>
              <w:rPr>
                <w:sz w:val="18"/>
              </w:rPr>
              <w:t>Retention gate + finalized watermark + archive ack.</w:t>
            </w:r>
          </w:p>
        </w:tc>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8DC4CA8" w14:textId="77777777" w:rsidR="006A213E" w:rsidRDefault="00000000">
            <w:pPr>
              <w:pStyle w:val="BodyTight"/>
              <w:spacing w:after="0"/>
            </w:pPr>
            <w:r>
              <w:rPr>
                <w:sz w:val="18"/>
              </w:rPr>
              <w:t>Separate DAG store and integrity digests.</w:t>
            </w:r>
          </w:p>
        </w:tc>
        <w:tc>
          <w:tcPr>
            <w:tcW w:w="2289"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675983B" w14:textId="77777777" w:rsidR="006A213E" w:rsidRDefault="00000000">
            <w:pPr>
              <w:pStyle w:val="BodyTight"/>
              <w:spacing w:after="0"/>
            </w:pPr>
            <w:r>
              <w:rPr>
                <w:sz w:val="18"/>
              </w:rPr>
              <w:t>Prune blocked; forensic review.</w:t>
            </w:r>
          </w:p>
        </w:tc>
      </w:tr>
      <w:tr w:rsidR="006A213E" w14:paraId="0DFD8A18"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5C2547E" w14:textId="77777777" w:rsidR="006A213E" w:rsidRDefault="00000000">
            <w:pPr>
              <w:pStyle w:val="BodyTight"/>
              <w:spacing w:after="0"/>
              <w:jc w:val="center"/>
            </w:pPr>
            <w:r>
              <w:rPr>
                <w:b/>
                <w:sz w:val="18"/>
              </w:rPr>
              <w:t>Archive divergence</w:t>
            </w:r>
          </w:p>
        </w:tc>
        <w:tc>
          <w:tcPr>
            <w:tcW w:w="227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B302529" w14:textId="77777777" w:rsidR="006A213E" w:rsidRDefault="00000000">
            <w:pPr>
              <w:pStyle w:val="BodyTight"/>
              <w:spacing w:after="0"/>
            </w:pPr>
            <w:r>
              <w:rPr>
                <w:sz w:val="18"/>
              </w:rPr>
              <w:t>Proof-backed recovery and lineage checks.</w:t>
            </w:r>
          </w:p>
        </w:tc>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10E895B" w14:textId="77777777" w:rsidR="006A213E" w:rsidRDefault="00000000">
            <w:pPr>
              <w:pStyle w:val="BodyTight"/>
              <w:spacing w:after="0"/>
            </w:pPr>
            <w:r>
              <w:rPr>
                <w:sz w:val="18"/>
              </w:rPr>
              <w:t>Audit validator cross-check.</w:t>
            </w:r>
          </w:p>
        </w:tc>
        <w:tc>
          <w:tcPr>
            <w:tcW w:w="2289"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5B864BE" w14:textId="77777777" w:rsidR="006A213E" w:rsidRDefault="00000000">
            <w:pPr>
              <w:pStyle w:val="BodyTight"/>
              <w:spacing w:after="0"/>
            </w:pPr>
            <w:r>
              <w:rPr>
                <w:sz w:val="18"/>
              </w:rPr>
              <w:t>Quarantine bad lineage; do not merge.</w:t>
            </w:r>
          </w:p>
        </w:tc>
      </w:tr>
      <w:tr w:rsidR="006A213E" w14:paraId="058B5F88"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2A76F9E" w14:textId="77777777" w:rsidR="006A213E" w:rsidRDefault="00000000">
            <w:pPr>
              <w:pStyle w:val="BodyTight"/>
              <w:spacing w:after="0"/>
              <w:jc w:val="center"/>
            </w:pPr>
            <w:r>
              <w:rPr>
                <w:b/>
                <w:sz w:val="18"/>
              </w:rPr>
              <w:t>Public RPC information leakage</w:t>
            </w:r>
          </w:p>
        </w:tc>
        <w:tc>
          <w:tcPr>
            <w:tcW w:w="227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C71E360" w14:textId="77777777" w:rsidR="006A213E" w:rsidRDefault="00000000">
            <w:pPr>
              <w:pStyle w:val="BodyTight"/>
              <w:spacing w:after="0"/>
            </w:pPr>
            <w:r>
              <w:rPr>
                <w:sz w:val="18"/>
              </w:rPr>
              <w:t>Profile-based exposure control.</w:t>
            </w:r>
          </w:p>
        </w:tc>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382CD80E" w14:textId="77777777" w:rsidR="006A213E" w:rsidRDefault="00000000">
            <w:pPr>
              <w:pStyle w:val="BodyTight"/>
              <w:spacing w:after="0"/>
            </w:pPr>
            <w:r>
              <w:rPr>
                <w:sz w:val="18"/>
              </w:rPr>
              <w:t>Redacted summaries only on public endpoints.</w:t>
            </w:r>
          </w:p>
        </w:tc>
        <w:tc>
          <w:tcPr>
            <w:tcW w:w="2289"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B69666E" w14:textId="77777777" w:rsidR="006A213E" w:rsidRDefault="00000000">
            <w:pPr>
              <w:pStyle w:val="BodyTight"/>
              <w:spacing w:after="0"/>
            </w:pPr>
            <w:r>
              <w:rPr>
                <w:sz w:val="18"/>
              </w:rPr>
              <w:t>Security review and deployment hardening.</w:t>
            </w:r>
          </w:p>
        </w:tc>
      </w:tr>
      <w:tr w:rsidR="006A213E" w14:paraId="2043170E"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4EDCA884" w14:textId="77777777" w:rsidR="006A213E" w:rsidRDefault="00000000">
            <w:pPr>
              <w:pStyle w:val="BodyTight"/>
              <w:spacing w:after="0"/>
              <w:jc w:val="center"/>
            </w:pPr>
            <w:r>
              <w:rPr>
                <w:b/>
                <w:sz w:val="18"/>
              </w:rPr>
              <w:t>Operator abuse</w:t>
            </w:r>
          </w:p>
        </w:tc>
        <w:tc>
          <w:tcPr>
            <w:tcW w:w="227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239AE11" w14:textId="77777777" w:rsidR="006A213E" w:rsidRDefault="00000000">
            <w:pPr>
              <w:pStyle w:val="BodyTight"/>
              <w:spacing w:after="0"/>
            </w:pPr>
            <w:r>
              <w:rPr>
                <w:sz w:val="18"/>
              </w:rPr>
              <w:t>mTLS, RBAC, and immutable audit logs.</w:t>
            </w:r>
          </w:p>
        </w:tc>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9D77B0B" w14:textId="77777777" w:rsidR="006A213E" w:rsidRDefault="00000000">
            <w:pPr>
              <w:pStyle w:val="BodyTight"/>
              <w:spacing w:after="0"/>
            </w:pPr>
            <w:r>
              <w:rPr>
                <w:sz w:val="18"/>
              </w:rPr>
              <w:t>Delayed activation for safety-sensitive changes.</w:t>
            </w:r>
          </w:p>
        </w:tc>
        <w:tc>
          <w:tcPr>
            <w:tcW w:w="2289"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A985008" w14:textId="77777777" w:rsidR="006A213E" w:rsidRDefault="00000000">
            <w:pPr>
              <w:pStyle w:val="BodyTight"/>
              <w:spacing w:after="0"/>
            </w:pPr>
            <w:r>
              <w:rPr>
                <w:sz w:val="18"/>
              </w:rPr>
              <w:t>Action traceability and rollback review.</w:t>
            </w:r>
          </w:p>
        </w:tc>
      </w:tr>
      <w:tr w:rsidR="006A213E" w14:paraId="0F0FF8F1" w14:textId="77777777">
        <w:trPr>
          <w:cantSplit/>
          <w:jc w:val="center"/>
        </w:trPr>
        <w:tc>
          <w:tcPr>
            <w:tcW w:w="1987"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8D826E3" w14:textId="77777777" w:rsidR="006A213E" w:rsidRDefault="00000000">
            <w:pPr>
              <w:pStyle w:val="BodyTight"/>
              <w:spacing w:after="0"/>
              <w:jc w:val="center"/>
            </w:pPr>
            <w:r>
              <w:rPr>
                <w:b/>
                <w:sz w:val="18"/>
              </w:rPr>
              <w:t>MEV leakage through DAG</w:t>
            </w:r>
          </w:p>
        </w:tc>
        <w:tc>
          <w:tcPr>
            <w:tcW w:w="227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758B226" w14:textId="77777777" w:rsidR="006A213E" w:rsidRDefault="00000000">
            <w:pPr>
              <w:pStyle w:val="BodyTight"/>
              <w:spacing w:after="0"/>
            </w:pPr>
            <w:r>
              <w:rPr>
                <w:sz w:val="18"/>
              </w:rPr>
              <w:t>Encrypted batches and non-public blob access.</w:t>
            </w:r>
          </w:p>
        </w:tc>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0B733EC" w14:textId="77777777" w:rsidR="006A213E" w:rsidRDefault="00000000">
            <w:pPr>
              <w:pStyle w:val="BodyTight"/>
              <w:spacing w:after="0"/>
            </w:pPr>
            <w:r>
              <w:rPr>
                <w:sz w:val="18"/>
              </w:rPr>
              <w:t>No raw payload exposure on public methods.</w:t>
            </w:r>
          </w:p>
        </w:tc>
        <w:tc>
          <w:tcPr>
            <w:tcW w:w="2289"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F4FAF96" w14:textId="77777777" w:rsidR="006A213E" w:rsidRDefault="00000000">
            <w:pPr>
              <w:pStyle w:val="BodyTight"/>
              <w:spacing w:after="0"/>
            </w:pPr>
            <w:r>
              <w:rPr>
                <w:sz w:val="18"/>
              </w:rPr>
              <w:t>Leak audit and emergency fallback policy.</w:t>
            </w:r>
          </w:p>
        </w:tc>
      </w:tr>
    </w:tbl>
    <w:p w14:paraId="72CDFB28" w14:textId="77777777" w:rsidR="006A213E" w:rsidRDefault="00000000">
      <w:pPr>
        <w:pStyle w:val="Heading1"/>
      </w:pPr>
      <w:r>
        <w:rPr>
          <w:rFonts w:ascii="Arial" w:eastAsia="Arial" w:hAnsi="Arial"/>
        </w:rPr>
        <w:lastRenderedPageBreak/>
        <w:t>DAG RPC and Operational Security Rules</w:t>
      </w:r>
    </w:p>
    <w:p w14:paraId="632923EB" w14:textId="77777777" w:rsidR="006A213E" w:rsidRDefault="00000000">
      <w:r>
        <w:t>The DAG RPC surface is a security boundary, not just a developer surface. The same method can be perfectly reasonable in an authenticated cluster and catastrophically irresponsible on a public endpoint. Synergy must therefore bind every DAG method family to an exposure profile that is enforced in transport, authorization, and deployment policy rather than left as a dashboard toggle.</w:t>
      </w:r>
    </w:p>
    <w:p w14:paraId="3C53C7E9" w14:textId="77777777" w:rsidR="006A213E" w:rsidRDefault="00000000">
      <w:r>
        <w:t>Public read DAG methods may return node status, safe summaries, proof references, and aggregated metrics. They may not expose private batch handles, raw payloads, active repair queues, or privileged topology hints that materially increase the chance of a targeted eclipse, withholding, or flood attack. Validator-private methods must assume hostile observation and require authenticated cluster membership, capability negotiation, and audit-friendly request traces.</w:t>
      </w:r>
    </w:p>
    <w:p w14:paraId="752911CE" w14:textId="77777777" w:rsidR="006A213E" w:rsidRDefault="00000000">
      <w:r>
        <w:t>Operator and forensic DAG methods deserve special caution because they can influence safety posture directly. Quarantine release, replay control, prune planning, parameter overrides, and evidence export must be protected by mutually authenticated transport, role-based authorization, immutable audit records, and non-public routing. A convenient operator shortcut that bypasses those controls is not an operational feature; it is a latent incident report.</w:t>
      </w:r>
    </w:p>
    <w:tbl>
      <w:tblPr>
        <w:tblW w:w="0" w:type="auto"/>
        <w:jc w:val="center"/>
        <w:tblLayout w:type="fixed"/>
        <w:tblLook w:val="04A0" w:firstRow="1" w:lastRow="0" w:firstColumn="1" w:lastColumn="0" w:noHBand="0" w:noVBand="1"/>
      </w:tblPr>
      <w:tblGrid>
        <w:gridCol w:w="2232"/>
        <w:gridCol w:w="1512"/>
        <w:gridCol w:w="3024"/>
        <w:gridCol w:w="2015"/>
      </w:tblGrid>
      <w:tr w:rsidR="006A213E" w14:paraId="45B4C51B" w14:textId="77777777">
        <w:trPr>
          <w:cantSplit/>
          <w:tblHeader/>
          <w:jc w:val="center"/>
        </w:trPr>
        <w:tc>
          <w:tcPr>
            <w:tcW w:w="2232" w:type="dxa"/>
            <w:tcBorders>
              <w:top w:val="single" w:sz="10" w:space="0" w:color="376996"/>
              <w:left w:val="single" w:sz="10" w:space="0" w:color="376996"/>
              <w:bottom w:val="single" w:sz="10" w:space="0" w:color="376996"/>
              <w:right w:val="single" w:sz="10" w:space="0" w:color="376996"/>
            </w:tcBorders>
            <w:shd w:val="clear" w:color="auto" w:fill="376996"/>
            <w:tcMar>
              <w:top w:w="120" w:type="dxa"/>
              <w:left w:w="110" w:type="dxa"/>
              <w:bottom w:w="120" w:type="dxa"/>
              <w:right w:w="110" w:type="dxa"/>
            </w:tcMar>
            <w:vAlign w:val="center"/>
          </w:tcPr>
          <w:p w14:paraId="439CF5B6" w14:textId="77777777" w:rsidR="006A213E" w:rsidRDefault="00000000">
            <w:pPr>
              <w:pStyle w:val="BodyTight"/>
              <w:spacing w:after="0"/>
              <w:jc w:val="center"/>
            </w:pPr>
            <w:r>
              <w:rPr>
                <w:b/>
                <w:color w:val="FFFFFF"/>
                <w:sz w:val="19"/>
              </w:rPr>
              <w:t>Method family</w:t>
            </w:r>
          </w:p>
        </w:tc>
        <w:tc>
          <w:tcPr>
            <w:tcW w:w="1512" w:type="dxa"/>
            <w:tcBorders>
              <w:top w:val="single" w:sz="10" w:space="0" w:color="376996"/>
              <w:left w:val="single" w:sz="10" w:space="0" w:color="376996"/>
              <w:bottom w:val="single" w:sz="10" w:space="0" w:color="376996"/>
              <w:right w:val="single" w:sz="10" w:space="0" w:color="376996"/>
            </w:tcBorders>
            <w:shd w:val="clear" w:color="auto" w:fill="376996"/>
            <w:tcMar>
              <w:top w:w="120" w:type="dxa"/>
              <w:left w:w="110" w:type="dxa"/>
              <w:bottom w:w="120" w:type="dxa"/>
              <w:right w:w="110" w:type="dxa"/>
            </w:tcMar>
            <w:vAlign w:val="center"/>
          </w:tcPr>
          <w:p w14:paraId="778B13EA" w14:textId="77777777" w:rsidR="006A213E" w:rsidRDefault="00000000">
            <w:pPr>
              <w:pStyle w:val="BodyTight"/>
              <w:spacing w:after="0"/>
              <w:jc w:val="center"/>
            </w:pPr>
            <w:r>
              <w:rPr>
                <w:b/>
                <w:color w:val="FFFFFF"/>
                <w:sz w:val="19"/>
              </w:rPr>
              <w:t>Profile</w:t>
            </w:r>
          </w:p>
        </w:tc>
        <w:tc>
          <w:tcPr>
            <w:tcW w:w="3024" w:type="dxa"/>
            <w:tcBorders>
              <w:top w:val="single" w:sz="10" w:space="0" w:color="376996"/>
              <w:left w:val="single" w:sz="10" w:space="0" w:color="376996"/>
              <w:bottom w:val="single" w:sz="10" w:space="0" w:color="376996"/>
              <w:right w:val="single" w:sz="10" w:space="0" w:color="376996"/>
            </w:tcBorders>
            <w:shd w:val="clear" w:color="auto" w:fill="376996"/>
            <w:tcMar>
              <w:top w:w="120" w:type="dxa"/>
              <w:left w:w="110" w:type="dxa"/>
              <w:bottom w:w="120" w:type="dxa"/>
              <w:right w:w="110" w:type="dxa"/>
            </w:tcMar>
            <w:vAlign w:val="center"/>
          </w:tcPr>
          <w:p w14:paraId="2D87FF2E" w14:textId="77777777" w:rsidR="006A213E" w:rsidRDefault="00000000">
            <w:pPr>
              <w:pStyle w:val="BodyTight"/>
              <w:spacing w:after="0"/>
              <w:jc w:val="center"/>
            </w:pPr>
            <w:r>
              <w:rPr>
                <w:b/>
                <w:color w:val="FFFFFF"/>
                <w:sz w:val="19"/>
              </w:rPr>
              <w:t>Mandatory controls</w:t>
            </w:r>
          </w:p>
        </w:tc>
        <w:tc>
          <w:tcPr>
            <w:tcW w:w="2015" w:type="dxa"/>
            <w:tcBorders>
              <w:top w:val="single" w:sz="10" w:space="0" w:color="376996"/>
              <w:left w:val="single" w:sz="10" w:space="0" w:color="376996"/>
              <w:bottom w:val="single" w:sz="10" w:space="0" w:color="376996"/>
              <w:right w:val="single" w:sz="10" w:space="0" w:color="376996"/>
            </w:tcBorders>
            <w:shd w:val="clear" w:color="auto" w:fill="376996"/>
            <w:tcMar>
              <w:top w:w="120" w:type="dxa"/>
              <w:left w:w="110" w:type="dxa"/>
              <w:bottom w:w="120" w:type="dxa"/>
              <w:right w:w="110" w:type="dxa"/>
            </w:tcMar>
            <w:vAlign w:val="center"/>
          </w:tcPr>
          <w:p w14:paraId="55555543" w14:textId="77777777" w:rsidR="006A213E" w:rsidRDefault="00000000">
            <w:pPr>
              <w:pStyle w:val="BodyTight"/>
              <w:spacing w:after="0"/>
              <w:jc w:val="center"/>
            </w:pPr>
            <w:r>
              <w:rPr>
                <w:b/>
                <w:color w:val="FFFFFF"/>
                <w:sz w:val="19"/>
              </w:rPr>
              <w:t>Never expose / never permit</w:t>
            </w:r>
          </w:p>
        </w:tc>
      </w:tr>
      <w:tr w:rsidR="006A213E" w14:paraId="116205B0" w14:textId="77777777">
        <w:trPr>
          <w:cantSplit/>
          <w:jc w:val="center"/>
        </w:trPr>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2FA6783" w14:textId="77777777" w:rsidR="006A213E" w:rsidRDefault="00000000">
            <w:pPr>
              <w:pStyle w:val="BodyTight"/>
              <w:spacing w:after="0"/>
              <w:jc w:val="center"/>
            </w:pPr>
            <w:r>
              <w:rPr>
                <w:b/>
                <w:sz w:val="18"/>
              </w:rPr>
              <w:t>Status, health, metrics</w:t>
            </w:r>
          </w:p>
        </w:tc>
        <w:tc>
          <w:tcPr>
            <w:tcW w:w="151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B61EA1A" w14:textId="77777777" w:rsidR="006A213E" w:rsidRDefault="00000000">
            <w:pPr>
              <w:pStyle w:val="BodyTight"/>
              <w:spacing w:after="0"/>
            </w:pPr>
            <w:r>
              <w:rPr>
                <w:sz w:val="18"/>
              </w:rPr>
              <w:t>Public read</w:t>
            </w:r>
          </w:p>
        </w:tc>
        <w:tc>
          <w:tcPr>
            <w:tcW w:w="302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65EB54C" w14:textId="77777777" w:rsidR="006A213E" w:rsidRDefault="00000000">
            <w:pPr>
              <w:pStyle w:val="BodyTight"/>
              <w:spacing w:after="0"/>
            </w:pPr>
            <w:r>
              <w:rPr>
                <w:sz w:val="18"/>
              </w:rPr>
              <w:t>Summary-only responses, rate limits, no private payload handles.</w:t>
            </w:r>
          </w:p>
        </w:tc>
        <w:tc>
          <w:tcPr>
            <w:tcW w:w="201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A5DF3E2" w14:textId="77777777" w:rsidR="006A213E" w:rsidRDefault="00000000">
            <w:pPr>
              <w:pStyle w:val="BodyTight"/>
              <w:spacing w:after="0"/>
            </w:pPr>
            <w:r>
              <w:rPr>
                <w:sz w:val="18"/>
              </w:rPr>
              <w:t>Do not leak raw blobs, repair queues, or peer secrets.</w:t>
            </w:r>
          </w:p>
        </w:tc>
      </w:tr>
      <w:tr w:rsidR="006A213E" w14:paraId="4755E597" w14:textId="77777777">
        <w:trPr>
          <w:cantSplit/>
          <w:jc w:val="center"/>
        </w:trPr>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880E995" w14:textId="77777777" w:rsidR="006A213E" w:rsidRDefault="00000000">
            <w:pPr>
              <w:pStyle w:val="BodyTight"/>
              <w:spacing w:after="0"/>
              <w:jc w:val="center"/>
            </w:pPr>
            <w:r>
              <w:rPr>
                <w:b/>
                <w:sz w:val="18"/>
              </w:rPr>
              <w:t>Object/proof retrieval</w:t>
            </w:r>
          </w:p>
        </w:tc>
        <w:tc>
          <w:tcPr>
            <w:tcW w:w="151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48DDF43" w14:textId="77777777" w:rsidR="006A213E" w:rsidRDefault="00000000">
            <w:pPr>
              <w:pStyle w:val="BodyTight"/>
              <w:spacing w:after="0"/>
            </w:pPr>
            <w:r>
              <w:rPr>
                <w:sz w:val="18"/>
              </w:rPr>
              <w:t>Public read or audit depending on payload</w:t>
            </w:r>
          </w:p>
        </w:tc>
        <w:tc>
          <w:tcPr>
            <w:tcW w:w="302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1BAB0A1" w14:textId="77777777" w:rsidR="006A213E" w:rsidRDefault="00000000">
            <w:pPr>
              <w:pStyle w:val="BodyTight"/>
              <w:spacing w:after="0"/>
            </w:pPr>
            <w:r>
              <w:rPr>
                <w:sz w:val="18"/>
              </w:rPr>
              <w:t>Proof references only on public profiles; full evidence only on audit profiles.</w:t>
            </w:r>
          </w:p>
        </w:tc>
        <w:tc>
          <w:tcPr>
            <w:tcW w:w="201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216FF89" w14:textId="77777777" w:rsidR="006A213E" w:rsidRDefault="00000000">
            <w:pPr>
              <w:pStyle w:val="BodyTight"/>
              <w:spacing w:after="0"/>
            </w:pPr>
            <w:r>
              <w:rPr>
                <w:sz w:val="18"/>
              </w:rPr>
              <w:t>No public plaintext batch retrieval.</w:t>
            </w:r>
          </w:p>
        </w:tc>
      </w:tr>
      <w:tr w:rsidR="006A213E" w14:paraId="308CD2CC" w14:textId="77777777">
        <w:trPr>
          <w:cantSplit/>
          <w:jc w:val="center"/>
        </w:trPr>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5559BE3" w14:textId="77777777" w:rsidR="006A213E" w:rsidRDefault="00000000">
            <w:pPr>
              <w:pStyle w:val="BodyTight"/>
              <w:spacing w:after="0"/>
              <w:jc w:val="center"/>
            </w:pPr>
            <w:r>
              <w:rPr>
                <w:b/>
                <w:sz w:val="18"/>
              </w:rPr>
              <w:t>Vertex/receipt/certificate submission</w:t>
            </w:r>
          </w:p>
        </w:tc>
        <w:tc>
          <w:tcPr>
            <w:tcW w:w="151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04A2FA1" w14:textId="77777777" w:rsidR="006A213E" w:rsidRDefault="00000000">
            <w:pPr>
              <w:pStyle w:val="BodyTight"/>
              <w:spacing w:after="0"/>
            </w:pPr>
            <w:r>
              <w:rPr>
                <w:sz w:val="18"/>
              </w:rPr>
              <w:t>Validator-private</w:t>
            </w:r>
          </w:p>
        </w:tc>
        <w:tc>
          <w:tcPr>
            <w:tcW w:w="302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3911F700" w14:textId="77777777" w:rsidR="006A213E" w:rsidRDefault="00000000">
            <w:pPr>
              <w:pStyle w:val="BodyTight"/>
              <w:spacing w:after="0"/>
            </w:pPr>
            <w:r>
              <w:rPr>
                <w:sz w:val="18"/>
              </w:rPr>
              <w:t>Cluster membership auth, capability check, per-peer quotas, audit trace.</w:t>
            </w:r>
          </w:p>
        </w:tc>
        <w:tc>
          <w:tcPr>
            <w:tcW w:w="201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13D87BB" w14:textId="77777777" w:rsidR="006A213E" w:rsidRDefault="00000000">
            <w:pPr>
              <w:pStyle w:val="BodyTight"/>
              <w:spacing w:after="0"/>
            </w:pPr>
            <w:r>
              <w:rPr>
                <w:sz w:val="18"/>
              </w:rPr>
              <w:t>Never expose on public internet endpoints.</w:t>
            </w:r>
          </w:p>
        </w:tc>
      </w:tr>
      <w:tr w:rsidR="006A213E" w14:paraId="5F3D2B5F" w14:textId="77777777">
        <w:trPr>
          <w:cantSplit/>
          <w:jc w:val="center"/>
        </w:trPr>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57FA8FD" w14:textId="77777777" w:rsidR="006A213E" w:rsidRDefault="00000000">
            <w:pPr>
              <w:pStyle w:val="BodyTight"/>
              <w:spacing w:after="0"/>
              <w:jc w:val="center"/>
            </w:pPr>
            <w:r>
              <w:rPr>
                <w:b/>
                <w:sz w:val="18"/>
              </w:rPr>
              <w:t>Repair, replay, recovery assist</w:t>
            </w:r>
          </w:p>
        </w:tc>
        <w:tc>
          <w:tcPr>
            <w:tcW w:w="151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D82BED3" w14:textId="77777777" w:rsidR="006A213E" w:rsidRDefault="00000000">
            <w:pPr>
              <w:pStyle w:val="BodyTight"/>
              <w:spacing w:after="0"/>
            </w:pPr>
            <w:r>
              <w:rPr>
                <w:sz w:val="18"/>
              </w:rPr>
              <w:t>Operator or audit</w:t>
            </w:r>
          </w:p>
        </w:tc>
        <w:tc>
          <w:tcPr>
            <w:tcW w:w="302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BDF7CBC" w14:textId="77777777" w:rsidR="006A213E" w:rsidRDefault="00000000">
            <w:pPr>
              <w:pStyle w:val="BodyTight"/>
              <w:spacing w:after="0"/>
            </w:pPr>
            <w:r>
              <w:rPr>
                <w:sz w:val="18"/>
              </w:rPr>
              <w:t>mTLS, RBAC, immutable audit log, bounded scopes.</w:t>
            </w:r>
          </w:p>
        </w:tc>
        <w:tc>
          <w:tcPr>
            <w:tcW w:w="201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7C0EC7D" w14:textId="77777777" w:rsidR="006A213E" w:rsidRDefault="00000000">
            <w:pPr>
              <w:pStyle w:val="BodyTight"/>
              <w:spacing w:after="0"/>
            </w:pPr>
            <w:r>
              <w:rPr>
                <w:sz w:val="18"/>
              </w:rPr>
              <w:t>No anonymous recovery control.</w:t>
            </w:r>
          </w:p>
        </w:tc>
      </w:tr>
      <w:tr w:rsidR="006A213E" w14:paraId="5604439D" w14:textId="77777777">
        <w:trPr>
          <w:cantSplit/>
          <w:jc w:val="center"/>
        </w:trPr>
        <w:tc>
          <w:tcPr>
            <w:tcW w:w="223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8B5C74C" w14:textId="77777777" w:rsidR="006A213E" w:rsidRDefault="00000000">
            <w:pPr>
              <w:pStyle w:val="BodyTight"/>
              <w:spacing w:after="0"/>
              <w:jc w:val="center"/>
            </w:pPr>
            <w:r>
              <w:rPr>
                <w:b/>
                <w:sz w:val="18"/>
              </w:rPr>
              <w:t>Quarantine, fallback, prune planning</w:t>
            </w:r>
          </w:p>
        </w:tc>
        <w:tc>
          <w:tcPr>
            <w:tcW w:w="1512"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0AB806F" w14:textId="77777777" w:rsidR="006A213E" w:rsidRDefault="00000000">
            <w:pPr>
              <w:pStyle w:val="BodyTight"/>
              <w:spacing w:after="0"/>
            </w:pPr>
            <w:r>
              <w:rPr>
                <w:sz w:val="18"/>
              </w:rPr>
              <w:t>Operator</w:t>
            </w:r>
          </w:p>
        </w:tc>
        <w:tc>
          <w:tcPr>
            <w:tcW w:w="302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E6AE349" w14:textId="77777777" w:rsidR="006A213E" w:rsidRDefault="00000000">
            <w:pPr>
              <w:pStyle w:val="BodyTight"/>
              <w:spacing w:after="0"/>
            </w:pPr>
            <w:r>
              <w:rPr>
                <w:sz w:val="18"/>
              </w:rPr>
              <w:t>Two-person review where available, delayed activation, audit logging.</w:t>
            </w:r>
          </w:p>
        </w:tc>
        <w:tc>
          <w:tcPr>
            <w:tcW w:w="2015"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59E53DD" w14:textId="77777777" w:rsidR="006A213E" w:rsidRDefault="00000000">
            <w:pPr>
              <w:pStyle w:val="BodyTight"/>
              <w:spacing w:after="0"/>
            </w:pPr>
            <w:r>
              <w:rPr>
                <w:sz w:val="18"/>
              </w:rPr>
              <w:t>No immediate unsafe override outside policy.</w:t>
            </w:r>
          </w:p>
        </w:tc>
      </w:tr>
      <w:tr w:rsidR="006A213E" w14:paraId="08518D12" w14:textId="77777777">
        <w:trPr>
          <w:cantSplit/>
          <w:jc w:val="center"/>
        </w:trPr>
        <w:tc>
          <w:tcPr>
            <w:tcW w:w="223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CA2C150" w14:textId="77777777" w:rsidR="006A213E" w:rsidRDefault="00000000">
            <w:pPr>
              <w:pStyle w:val="BodyTight"/>
              <w:spacing w:after="0"/>
              <w:jc w:val="center"/>
            </w:pPr>
            <w:r>
              <w:rPr>
                <w:b/>
                <w:sz w:val="18"/>
              </w:rPr>
              <w:t>Evidence export and forensic lineage</w:t>
            </w:r>
          </w:p>
        </w:tc>
        <w:tc>
          <w:tcPr>
            <w:tcW w:w="1512"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ADF0DC1" w14:textId="77777777" w:rsidR="006A213E" w:rsidRDefault="00000000">
            <w:pPr>
              <w:pStyle w:val="BodyTight"/>
              <w:spacing w:after="0"/>
            </w:pPr>
            <w:r>
              <w:rPr>
                <w:sz w:val="18"/>
              </w:rPr>
              <w:t>Audit / authorized operator</w:t>
            </w:r>
          </w:p>
        </w:tc>
        <w:tc>
          <w:tcPr>
            <w:tcW w:w="302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A1F69F9" w14:textId="77777777" w:rsidR="006A213E" w:rsidRDefault="00000000">
            <w:pPr>
              <w:pStyle w:val="BodyTight"/>
              <w:spacing w:after="0"/>
            </w:pPr>
            <w:r>
              <w:rPr>
                <w:sz w:val="18"/>
              </w:rPr>
              <w:t>Integrity verification, export logging, retention-aware access.</w:t>
            </w:r>
          </w:p>
        </w:tc>
        <w:tc>
          <w:tcPr>
            <w:tcW w:w="2015"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2314C87" w14:textId="77777777" w:rsidR="006A213E" w:rsidRDefault="00000000">
            <w:pPr>
              <w:pStyle w:val="BodyTight"/>
              <w:spacing w:after="0"/>
            </w:pPr>
            <w:r>
              <w:rPr>
                <w:sz w:val="18"/>
              </w:rPr>
              <w:t>Never permit silent evidence deletion or overwrite.</w:t>
            </w:r>
          </w:p>
        </w:tc>
      </w:tr>
    </w:tbl>
    <w:p w14:paraId="3B9D9D97" w14:textId="77777777" w:rsidR="006A213E" w:rsidRDefault="00000000">
      <w:pPr>
        <w:pStyle w:val="Heading1"/>
      </w:pPr>
      <w:r>
        <w:rPr>
          <w:rFonts w:ascii="Arial" w:eastAsia="Arial" w:hAnsi="Arial"/>
        </w:rPr>
        <w:t>Red-Team and Verification Matrix</w:t>
      </w:r>
    </w:p>
    <w:p w14:paraId="28B39095" w14:textId="77777777" w:rsidR="006A213E" w:rsidRDefault="00000000">
      <w:r>
        <w:t>The following scenarios are the minimum red-team set for a serious DAG rollout. Passing them does not prove perfection, but failing them means the network is not ready for security-sensitive deployment.</w:t>
      </w:r>
    </w:p>
    <w:tbl>
      <w:tblPr>
        <w:tblW w:w="0" w:type="auto"/>
        <w:jc w:val="center"/>
        <w:tblLayout w:type="fixed"/>
        <w:tblLook w:val="04A0" w:firstRow="1" w:lastRow="0" w:firstColumn="1" w:lastColumn="0" w:noHBand="0" w:noVBand="1"/>
      </w:tblPr>
      <w:tblGrid>
        <w:gridCol w:w="2376"/>
        <w:gridCol w:w="3384"/>
        <w:gridCol w:w="3024"/>
      </w:tblGrid>
      <w:tr w:rsidR="006A213E" w14:paraId="0830247D" w14:textId="77777777">
        <w:trPr>
          <w:cantSplit/>
          <w:tblHeader/>
          <w:jc w:val="center"/>
        </w:trPr>
        <w:tc>
          <w:tcPr>
            <w:tcW w:w="2376"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0BBE7F18" w14:textId="77777777" w:rsidR="006A213E" w:rsidRDefault="00000000">
            <w:pPr>
              <w:pStyle w:val="BodyTight"/>
              <w:spacing w:after="0"/>
              <w:jc w:val="center"/>
            </w:pPr>
            <w:r>
              <w:rPr>
                <w:b/>
                <w:color w:val="FFFFFF"/>
                <w:sz w:val="19"/>
              </w:rPr>
              <w:t>Scenario</w:t>
            </w:r>
          </w:p>
        </w:tc>
        <w:tc>
          <w:tcPr>
            <w:tcW w:w="3384"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261E82D4" w14:textId="77777777" w:rsidR="006A213E" w:rsidRDefault="00000000">
            <w:pPr>
              <w:pStyle w:val="BodyTight"/>
              <w:spacing w:after="0"/>
              <w:jc w:val="center"/>
            </w:pPr>
            <w:r>
              <w:rPr>
                <w:b/>
                <w:color w:val="FFFFFF"/>
                <w:sz w:val="19"/>
              </w:rPr>
              <w:t>Adversary objective</w:t>
            </w:r>
          </w:p>
        </w:tc>
        <w:tc>
          <w:tcPr>
            <w:tcW w:w="3024" w:type="dxa"/>
            <w:tcBorders>
              <w:top w:val="single" w:sz="10" w:space="0" w:color="1F4E78"/>
              <w:left w:val="single" w:sz="10" w:space="0" w:color="1F4E78"/>
              <w:bottom w:val="single" w:sz="10" w:space="0" w:color="1F4E78"/>
              <w:right w:val="single" w:sz="10" w:space="0" w:color="1F4E78"/>
            </w:tcBorders>
            <w:shd w:val="clear" w:color="auto" w:fill="1F4E78"/>
            <w:tcMar>
              <w:top w:w="120" w:type="dxa"/>
              <w:left w:w="110" w:type="dxa"/>
              <w:bottom w:w="120" w:type="dxa"/>
              <w:right w:w="110" w:type="dxa"/>
            </w:tcMar>
            <w:vAlign w:val="center"/>
          </w:tcPr>
          <w:p w14:paraId="7B8DC0F3" w14:textId="77777777" w:rsidR="006A213E" w:rsidRDefault="00000000">
            <w:pPr>
              <w:pStyle w:val="BodyTight"/>
              <w:spacing w:after="0"/>
              <w:jc w:val="center"/>
            </w:pPr>
            <w:r>
              <w:rPr>
                <w:b/>
                <w:color w:val="FFFFFF"/>
                <w:sz w:val="19"/>
              </w:rPr>
              <w:t>Pass criterion</w:t>
            </w:r>
          </w:p>
        </w:tc>
      </w:tr>
      <w:tr w:rsidR="006A213E" w14:paraId="36A77CE0" w14:textId="77777777">
        <w:trPr>
          <w:cantSplit/>
          <w:jc w:val="center"/>
        </w:trPr>
        <w:tc>
          <w:tcPr>
            <w:tcW w:w="237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39F48CC7" w14:textId="77777777" w:rsidR="006A213E" w:rsidRDefault="00000000">
            <w:pPr>
              <w:pStyle w:val="BodyTight"/>
              <w:spacing w:after="0"/>
              <w:jc w:val="center"/>
            </w:pPr>
            <w:r>
              <w:rPr>
                <w:b/>
                <w:sz w:val="18"/>
              </w:rPr>
              <w:t>Selective blob withholding</w:t>
            </w:r>
          </w:p>
        </w:tc>
        <w:tc>
          <w:tcPr>
            <w:tcW w:w="338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5C97F10" w14:textId="77777777" w:rsidR="006A213E" w:rsidRDefault="00000000">
            <w:pPr>
              <w:pStyle w:val="BodyTight"/>
              <w:spacing w:after="0"/>
            </w:pPr>
            <w:r>
              <w:rPr>
                <w:sz w:val="18"/>
              </w:rPr>
              <w:t>Get a vertex ordered without cluster-wide retrievability.</w:t>
            </w:r>
          </w:p>
        </w:tc>
        <w:tc>
          <w:tcPr>
            <w:tcW w:w="302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E1C81AC" w14:textId="77777777" w:rsidR="006A213E" w:rsidRDefault="00000000">
            <w:pPr>
              <w:pStyle w:val="BodyTight"/>
              <w:spacing w:after="0"/>
            </w:pPr>
            <w:r>
              <w:rPr>
                <w:sz w:val="18"/>
              </w:rPr>
              <w:t>No unavailable vertex may influence the cut or final block.</w:t>
            </w:r>
          </w:p>
        </w:tc>
      </w:tr>
      <w:tr w:rsidR="006A213E" w14:paraId="1698F840" w14:textId="77777777">
        <w:trPr>
          <w:cantSplit/>
          <w:jc w:val="center"/>
        </w:trPr>
        <w:tc>
          <w:tcPr>
            <w:tcW w:w="237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26E6B99" w14:textId="77777777" w:rsidR="006A213E" w:rsidRDefault="00000000">
            <w:pPr>
              <w:pStyle w:val="BodyTight"/>
              <w:spacing w:after="0"/>
              <w:jc w:val="center"/>
            </w:pPr>
            <w:r>
              <w:rPr>
                <w:b/>
                <w:sz w:val="18"/>
              </w:rPr>
              <w:t>Receipt fraud</w:t>
            </w:r>
          </w:p>
        </w:tc>
        <w:tc>
          <w:tcPr>
            <w:tcW w:w="338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122BEB2" w14:textId="77777777" w:rsidR="006A213E" w:rsidRDefault="00000000">
            <w:pPr>
              <w:pStyle w:val="BodyTight"/>
              <w:spacing w:after="0"/>
            </w:pPr>
            <w:r>
              <w:rPr>
                <w:sz w:val="18"/>
              </w:rPr>
              <w:t>Mint certification from nodes that never stored data.</w:t>
            </w:r>
          </w:p>
        </w:tc>
        <w:tc>
          <w:tcPr>
            <w:tcW w:w="302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CFAA501" w14:textId="77777777" w:rsidR="006A213E" w:rsidRDefault="00000000">
            <w:pPr>
              <w:pStyle w:val="BodyTight"/>
              <w:spacing w:after="0"/>
            </w:pPr>
            <w:r>
              <w:rPr>
                <w:sz w:val="18"/>
              </w:rPr>
              <w:t>Receipt issuance path refuses early signatures; bogus receipts do not aggregate.</w:t>
            </w:r>
          </w:p>
        </w:tc>
      </w:tr>
      <w:tr w:rsidR="006A213E" w14:paraId="2BCC3AD7" w14:textId="77777777">
        <w:trPr>
          <w:cantSplit/>
          <w:jc w:val="center"/>
        </w:trPr>
        <w:tc>
          <w:tcPr>
            <w:tcW w:w="237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5785D69" w14:textId="77777777" w:rsidR="006A213E" w:rsidRDefault="00000000">
            <w:pPr>
              <w:pStyle w:val="BodyTight"/>
              <w:spacing w:after="0"/>
              <w:jc w:val="center"/>
            </w:pPr>
            <w:r>
              <w:rPr>
                <w:b/>
                <w:sz w:val="18"/>
              </w:rPr>
              <w:lastRenderedPageBreak/>
              <w:t>Cluster clique formation</w:t>
            </w:r>
          </w:p>
        </w:tc>
        <w:tc>
          <w:tcPr>
            <w:tcW w:w="338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5A4346C" w14:textId="77777777" w:rsidR="006A213E" w:rsidRDefault="00000000">
            <w:pPr>
              <w:pStyle w:val="BodyTight"/>
              <w:spacing w:after="0"/>
            </w:pPr>
            <w:r>
              <w:rPr>
                <w:sz w:val="18"/>
              </w:rPr>
              <w:t>Bias parent selection and frontier shape.</w:t>
            </w:r>
          </w:p>
        </w:tc>
        <w:tc>
          <w:tcPr>
            <w:tcW w:w="302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377C04AD" w14:textId="77777777" w:rsidR="006A213E" w:rsidRDefault="00000000">
            <w:pPr>
              <w:pStyle w:val="BodyTight"/>
              <w:spacing w:after="0"/>
            </w:pPr>
            <w:r>
              <w:rPr>
                <w:sz w:val="18"/>
              </w:rPr>
              <w:t>Diversity checks detect and suppress clique-only reference patterns.</w:t>
            </w:r>
          </w:p>
        </w:tc>
      </w:tr>
      <w:tr w:rsidR="006A213E" w14:paraId="48EEB720" w14:textId="77777777">
        <w:trPr>
          <w:cantSplit/>
          <w:jc w:val="center"/>
        </w:trPr>
        <w:tc>
          <w:tcPr>
            <w:tcW w:w="237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4FA035A" w14:textId="77777777" w:rsidR="006A213E" w:rsidRDefault="00000000">
            <w:pPr>
              <w:pStyle w:val="BodyTight"/>
              <w:spacing w:after="0"/>
              <w:jc w:val="center"/>
            </w:pPr>
            <w:r>
              <w:rPr>
                <w:b/>
                <w:sz w:val="18"/>
              </w:rPr>
              <w:t>Flood and queue starvation</w:t>
            </w:r>
          </w:p>
        </w:tc>
        <w:tc>
          <w:tcPr>
            <w:tcW w:w="338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65F64D8" w14:textId="77777777" w:rsidR="006A213E" w:rsidRDefault="00000000">
            <w:pPr>
              <w:pStyle w:val="BodyTight"/>
              <w:spacing w:after="0"/>
            </w:pPr>
            <w:r>
              <w:rPr>
                <w:sz w:val="18"/>
              </w:rPr>
              <w:t>Starve QC or checkpoint channels with DAG traffic.</w:t>
            </w:r>
          </w:p>
        </w:tc>
        <w:tc>
          <w:tcPr>
            <w:tcW w:w="302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4AC8171" w14:textId="77777777" w:rsidR="006A213E" w:rsidRDefault="00000000">
            <w:pPr>
              <w:pStyle w:val="BodyTight"/>
              <w:spacing w:after="0"/>
            </w:pPr>
            <w:r>
              <w:rPr>
                <w:sz w:val="18"/>
              </w:rPr>
              <w:t>Independent queue budgets preserve consensus and evidence traffic.</w:t>
            </w:r>
          </w:p>
        </w:tc>
      </w:tr>
      <w:tr w:rsidR="006A213E" w14:paraId="32E9F8B5" w14:textId="77777777">
        <w:trPr>
          <w:cantSplit/>
          <w:jc w:val="center"/>
        </w:trPr>
        <w:tc>
          <w:tcPr>
            <w:tcW w:w="237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8F40FC2" w14:textId="77777777" w:rsidR="006A213E" w:rsidRDefault="00000000">
            <w:pPr>
              <w:pStyle w:val="BodyTight"/>
              <w:spacing w:after="0"/>
              <w:jc w:val="center"/>
            </w:pPr>
            <w:r>
              <w:rPr>
                <w:b/>
                <w:sz w:val="18"/>
              </w:rPr>
              <w:t>Same-round equivocation</w:t>
            </w:r>
          </w:p>
        </w:tc>
        <w:tc>
          <w:tcPr>
            <w:tcW w:w="338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60D43BF" w14:textId="77777777" w:rsidR="006A213E" w:rsidRDefault="00000000">
            <w:pPr>
              <w:pStyle w:val="BodyTight"/>
              <w:spacing w:after="0"/>
            </w:pPr>
            <w:r>
              <w:rPr>
                <w:sz w:val="18"/>
              </w:rPr>
              <w:t>Create ambiguous author history.</w:t>
            </w:r>
          </w:p>
        </w:tc>
        <w:tc>
          <w:tcPr>
            <w:tcW w:w="302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5ECA7B1" w14:textId="77777777" w:rsidR="006A213E" w:rsidRDefault="00000000">
            <w:pPr>
              <w:pStyle w:val="BodyTight"/>
              <w:spacing w:after="0"/>
            </w:pPr>
            <w:r>
              <w:rPr>
                <w:sz w:val="18"/>
              </w:rPr>
              <w:t>Evidence is deterministic and slash pipeline can consume it automatically.</w:t>
            </w:r>
          </w:p>
        </w:tc>
      </w:tr>
      <w:tr w:rsidR="006A213E" w14:paraId="53D3EE51" w14:textId="77777777">
        <w:trPr>
          <w:cantSplit/>
          <w:jc w:val="center"/>
        </w:trPr>
        <w:tc>
          <w:tcPr>
            <w:tcW w:w="237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4F71590" w14:textId="77777777" w:rsidR="006A213E" w:rsidRDefault="00000000">
            <w:pPr>
              <w:pStyle w:val="BodyTight"/>
              <w:spacing w:after="0"/>
              <w:jc w:val="center"/>
            </w:pPr>
            <w:r>
              <w:rPr>
                <w:b/>
                <w:sz w:val="18"/>
              </w:rPr>
              <w:t>Cross-epoch replay</w:t>
            </w:r>
          </w:p>
        </w:tc>
        <w:tc>
          <w:tcPr>
            <w:tcW w:w="338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26031F0A" w14:textId="77777777" w:rsidR="006A213E" w:rsidRDefault="00000000">
            <w:pPr>
              <w:pStyle w:val="BodyTight"/>
              <w:spacing w:after="0"/>
            </w:pPr>
            <w:r>
              <w:rPr>
                <w:sz w:val="18"/>
              </w:rPr>
              <w:t>Smuggle stale DAG artifacts into new cluster context.</w:t>
            </w:r>
          </w:p>
        </w:tc>
        <w:tc>
          <w:tcPr>
            <w:tcW w:w="302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0CA816C" w14:textId="77777777" w:rsidR="006A213E" w:rsidRDefault="00000000">
            <w:pPr>
              <w:pStyle w:val="BodyTight"/>
              <w:spacing w:after="0"/>
            </w:pPr>
            <w:r>
              <w:rPr>
                <w:sz w:val="18"/>
              </w:rPr>
              <w:t>Admission rejects stale artifacts before ordering or storage.</w:t>
            </w:r>
          </w:p>
        </w:tc>
      </w:tr>
      <w:tr w:rsidR="006A213E" w14:paraId="3EE153CD" w14:textId="77777777">
        <w:trPr>
          <w:cantSplit/>
          <w:jc w:val="center"/>
        </w:trPr>
        <w:tc>
          <w:tcPr>
            <w:tcW w:w="237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46A6A5A" w14:textId="77777777" w:rsidR="006A213E" w:rsidRDefault="00000000">
            <w:pPr>
              <w:pStyle w:val="BodyTight"/>
              <w:spacing w:after="0"/>
              <w:jc w:val="center"/>
            </w:pPr>
            <w:r>
              <w:rPr>
                <w:b/>
                <w:sz w:val="18"/>
              </w:rPr>
              <w:t>Fraudulent proposer cut</w:t>
            </w:r>
          </w:p>
        </w:tc>
        <w:tc>
          <w:tcPr>
            <w:tcW w:w="338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17EB8C5" w14:textId="77777777" w:rsidR="006A213E" w:rsidRDefault="00000000">
            <w:pPr>
              <w:pStyle w:val="BodyTight"/>
              <w:spacing w:after="0"/>
            </w:pPr>
            <w:r>
              <w:rPr>
                <w:sz w:val="18"/>
              </w:rPr>
              <w:t>Exploit omitted or uncertified vertices for ordering advantage.</w:t>
            </w:r>
          </w:p>
        </w:tc>
        <w:tc>
          <w:tcPr>
            <w:tcW w:w="302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5830846" w14:textId="77777777" w:rsidR="006A213E" w:rsidRDefault="00000000">
            <w:pPr>
              <w:pStyle w:val="BodyTight"/>
              <w:spacing w:after="0"/>
            </w:pPr>
            <w:r>
              <w:rPr>
                <w:sz w:val="18"/>
              </w:rPr>
              <w:t>Validators recompute, reject, and preserve proof of fraud.</w:t>
            </w:r>
          </w:p>
        </w:tc>
      </w:tr>
      <w:tr w:rsidR="006A213E" w14:paraId="2A902B29" w14:textId="77777777">
        <w:trPr>
          <w:cantSplit/>
          <w:jc w:val="center"/>
        </w:trPr>
        <w:tc>
          <w:tcPr>
            <w:tcW w:w="237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558B3C4" w14:textId="77777777" w:rsidR="006A213E" w:rsidRDefault="00000000">
            <w:pPr>
              <w:pStyle w:val="BodyTight"/>
              <w:spacing w:after="0"/>
              <w:jc w:val="center"/>
            </w:pPr>
            <w:r>
              <w:rPr>
                <w:b/>
                <w:sz w:val="18"/>
              </w:rPr>
              <w:t>Checkpoint lineage corruption</w:t>
            </w:r>
          </w:p>
        </w:tc>
        <w:tc>
          <w:tcPr>
            <w:tcW w:w="338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6F54D4F" w14:textId="77777777" w:rsidR="006A213E" w:rsidRDefault="00000000">
            <w:pPr>
              <w:pStyle w:val="BodyTight"/>
              <w:spacing w:after="0"/>
            </w:pPr>
            <w:r>
              <w:rPr>
                <w:sz w:val="18"/>
              </w:rPr>
              <w:t>Convince recovering nodes to accept bad graph history.</w:t>
            </w:r>
          </w:p>
        </w:tc>
        <w:tc>
          <w:tcPr>
            <w:tcW w:w="302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BA380C7" w14:textId="77777777" w:rsidR="006A213E" w:rsidRDefault="00000000">
            <w:pPr>
              <w:pStyle w:val="BodyTight"/>
              <w:spacing w:after="0"/>
            </w:pPr>
            <w:r>
              <w:rPr>
                <w:sz w:val="18"/>
              </w:rPr>
              <w:t>Recovery enters quarantine instead of adopting unproved lineage.</w:t>
            </w:r>
          </w:p>
        </w:tc>
      </w:tr>
      <w:tr w:rsidR="006A213E" w14:paraId="50DF14A8" w14:textId="77777777">
        <w:trPr>
          <w:cantSplit/>
          <w:jc w:val="center"/>
        </w:trPr>
        <w:tc>
          <w:tcPr>
            <w:tcW w:w="237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77D487B4" w14:textId="77777777" w:rsidR="006A213E" w:rsidRDefault="00000000">
            <w:pPr>
              <w:pStyle w:val="BodyTight"/>
              <w:spacing w:after="0"/>
              <w:jc w:val="center"/>
            </w:pPr>
            <w:r>
              <w:rPr>
                <w:b/>
                <w:sz w:val="18"/>
              </w:rPr>
              <w:t>Premature pruning</w:t>
            </w:r>
          </w:p>
        </w:tc>
        <w:tc>
          <w:tcPr>
            <w:tcW w:w="338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F66ECFE" w14:textId="77777777" w:rsidR="006A213E" w:rsidRDefault="00000000">
            <w:pPr>
              <w:pStyle w:val="BodyTight"/>
              <w:spacing w:after="0"/>
            </w:pPr>
            <w:r>
              <w:rPr>
                <w:sz w:val="18"/>
              </w:rPr>
              <w:t>Destroy slashable evidence or recovery-critical artifacts.</w:t>
            </w:r>
          </w:p>
        </w:tc>
        <w:tc>
          <w:tcPr>
            <w:tcW w:w="302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1A9E95A1" w14:textId="77777777" w:rsidR="006A213E" w:rsidRDefault="00000000">
            <w:pPr>
              <w:pStyle w:val="BodyTight"/>
              <w:spacing w:after="0"/>
            </w:pPr>
            <w:r>
              <w:rPr>
                <w:sz w:val="18"/>
              </w:rPr>
              <w:t>Prune request is blocked until all prerequisites are satisfied.</w:t>
            </w:r>
          </w:p>
        </w:tc>
      </w:tr>
      <w:tr w:rsidR="006A213E" w14:paraId="110D8A70" w14:textId="77777777">
        <w:trPr>
          <w:cantSplit/>
          <w:jc w:val="center"/>
        </w:trPr>
        <w:tc>
          <w:tcPr>
            <w:tcW w:w="237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92862B3" w14:textId="77777777" w:rsidR="006A213E" w:rsidRDefault="00000000">
            <w:pPr>
              <w:pStyle w:val="BodyTight"/>
              <w:spacing w:after="0"/>
              <w:jc w:val="center"/>
            </w:pPr>
            <w:r>
              <w:rPr>
                <w:b/>
                <w:sz w:val="18"/>
              </w:rPr>
              <w:t>Public RPC reconnaissance</w:t>
            </w:r>
          </w:p>
        </w:tc>
        <w:tc>
          <w:tcPr>
            <w:tcW w:w="338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3D5F358F" w14:textId="77777777" w:rsidR="006A213E" w:rsidRDefault="00000000">
            <w:pPr>
              <w:pStyle w:val="BodyTight"/>
              <w:spacing w:after="0"/>
            </w:pPr>
            <w:r>
              <w:rPr>
                <w:sz w:val="18"/>
              </w:rPr>
              <w:t>Map cluster internals or private payload availability.</w:t>
            </w:r>
          </w:p>
        </w:tc>
        <w:tc>
          <w:tcPr>
            <w:tcW w:w="302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8968233" w14:textId="77777777" w:rsidR="006A213E" w:rsidRDefault="00000000">
            <w:pPr>
              <w:pStyle w:val="BodyTight"/>
              <w:spacing w:after="0"/>
            </w:pPr>
            <w:r>
              <w:rPr>
                <w:sz w:val="18"/>
              </w:rPr>
              <w:t>Public methods reveal only safe summaries and proof references.</w:t>
            </w:r>
          </w:p>
        </w:tc>
      </w:tr>
      <w:tr w:rsidR="006A213E" w14:paraId="3D51F03F" w14:textId="77777777">
        <w:trPr>
          <w:cantSplit/>
          <w:jc w:val="center"/>
        </w:trPr>
        <w:tc>
          <w:tcPr>
            <w:tcW w:w="237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F84AF19" w14:textId="77777777" w:rsidR="006A213E" w:rsidRDefault="00000000">
            <w:pPr>
              <w:pStyle w:val="BodyTight"/>
              <w:spacing w:after="0"/>
              <w:jc w:val="center"/>
            </w:pPr>
            <w:r>
              <w:rPr>
                <w:b/>
                <w:sz w:val="18"/>
              </w:rPr>
              <w:t>Operator-plane misuse</w:t>
            </w:r>
          </w:p>
        </w:tc>
        <w:tc>
          <w:tcPr>
            <w:tcW w:w="338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303E25B4" w14:textId="77777777" w:rsidR="006A213E" w:rsidRDefault="00000000">
            <w:pPr>
              <w:pStyle w:val="BodyTight"/>
              <w:spacing w:after="0"/>
            </w:pPr>
            <w:r>
              <w:rPr>
                <w:sz w:val="18"/>
              </w:rPr>
              <w:t>Disable controls or activate unsafe fallback silently.</w:t>
            </w:r>
          </w:p>
        </w:tc>
        <w:tc>
          <w:tcPr>
            <w:tcW w:w="3024"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B393924" w14:textId="77777777" w:rsidR="006A213E" w:rsidRDefault="00000000">
            <w:pPr>
              <w:pStyle w:val="BodyTight"/>
              <w:spacing w:after="0"/>
            </w:pPr>
            <w:r>
              <w:rPr>
                <w:sz w:val="18"/>
              </w:rPr>
              <w:t>All sensitive actions require auth, audit, and delayed activation.</w:t>
            </w:r>
          </w:p>
        </w:tc>
      </w:tr>
      <w:tr w:rsidR="006A213E" w14:paraId="5F76C58C" w14:textId="77777777">
        <w:trPr>
          <w:cantSplit/>
          <w:jc w:val="center"/>
        </w:trPr>
        <w:tc>
          <w:tcPr>
            <w:tcW w:w="237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B7A7662" w14:textId="77777777" w:rsidR="006A213E" w:rsidRDefault="00000000">
            <w:pPr>
              <w:pStyle w:val="BodyTight"/>
              <w:spacing w:after="0"/>
              <w:jc w:val="center"/>
            </w:pPr>
            <w:r>
              <w:rPr>
                <w:b/>
                <w:sz w:val="18"/>
              </w:rPr>
              <w:t>Encrypted batch leakage</w:t>
            </w:r>
          </w:p>
        </w:tc>
        <w:tc>
          <w:tcPr>
            <w:tcW w:w="338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41C4ABD" w14:textId="77777777" w:rsidR="006A213E" w:rsidRDefault="00000000">
            <w:pPr>
              <w:pStyle w:val="BodyTight"/>
              <w:spacing w:after="0"/>
            </w:pPr>
            <w:r>
              <w:rPr>
                <w:sz w:val="18"/>
              </w:rPr>
              <w:t>Recover pre-order transaction content for MEV advantage.</w:t>
            </w:r>
          </w:p>
        </w:tc>
        <w:tc>
          <w:tcPr>
            <w:tcW w:w="3024"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7C6C3D40" w14:textId="77777777" w:rsidR="006A213E" w:rsidRDefault="00000000">
            <w:pPr>
              <w:pStyle w:val="BodyTight"/>
              <w:spacing w:after="0"/>
            </w:pPr>
            <w:r>
              <w:rPr>
                <w:sz w:val="18"/>
              </w:rPr>
              <w:t>Payloads remain encrypted and inaccessible on public surfaces.</w:t>
            </w:r>
          </w:p>
        </w:tc>
      </w:tr>
    </w:tbl>
    <w:p w14:paraId="6A856B17" w14:textId="77777777" w:rsidR="006A213E" w:rsidRDefault="00000000">
      <w:pPr>
        <w:pStyle w:val="Heading1"/>
      </w:pPr>
      <w:r>
        <w:rPr>
          <w:rFonts w:ascii="Arial" w:eastAsia="Arial" w:hAnsi="Arial"/>
        </w:rPr>
        <w:t>Implementation Governance and Deployment Gates</w:t>
      </w:r>
    </w:p>
    <w:p w14:paraId="1B6A4C64" w14:textId="77777777" w:rsidR="006A213E" w:rsidRDefault="00000000">
      <w:r>
        <w:t>A secure DAG rollout is not a code merge; it is a gated program. Synergy should not move directly from schema design to production operation. The network needs a tight sequence of decision gates because the dangerous failures are emergent failures — the kind that appear only when consensus, transport, storage, operator tooling, and RPC policy are all live together.</w:t>
      </w:r>
    </w:p>
    <w:tbl>
      <w:tblPr>
        <w:tblW w:w="0" w:type="auto"/>
        <w:jc w:val="center"/>
        <w:tblLayout w:type="fixed"/>
        <w:tblLook w:val="04A0" w:firstRow="1" w:lastRow="0" w:firstColumn="1" w:lastColumn="0" w:noHBand="0" w:noVBand="1"/>
      </w:tblPr>
      <w:tblGrid>
        <w:gridCol w:w="1800"/>
        <w:gridCol w:w="4176"/>
        <w:gridCol w:w="2808"/>
      </w:tblGrid>
      <w:tr w:rsidR="006A213E" w14:paraId="60F760FB" w14:textId="77777777">
        <w:trPr>
          <w:cantSplit/>
          <w:tblHeader/>
          <w:jc w:val="center"/>
        </w:trPr>
        <w:tc>
          <w:tcPr>
            <w:tcW w:w="1800" w:type="dxa"/>
            <w:tcBorders>
              <w:top w:val="single" w:sz="10" w:space="0" w:color="376996"/>
              <w:left w:val="single" w:sz="10" w:space="0" w:color="376996"/>
              <w:bottom w:val="single" w:sz="10" w:space="0" w:color="376996"/>
              <w:right w:val="single" w:sz="10" w:space="0" w:color="376996"/>
            </w:tcBorders>
            <w:shd w:val="clear" w:color="auto" w:fill="376996"/>
            <w:tcMar>
              <w:top w:w="120" w:type="dxa"/>
              <w:left w:w="110" w:type="dxa"/>
              <w:bottom w:w="120" w:type="dxa"/>
              <w:right w:w="110" w:type="dxa"/>
            </w:tcMar>
            <w:vAlign w:val="center"/>
          </w:tcPr>
          <w:p w14:paraId="5801558B" w14:textId="77777777" w:rsidR="006A213E" w:rsidRDefault="00000000">
            <w:pPr>
              <w:pStyle w:val="BodyTight"/>
              <w:spacing w:after="0"/>
              <w:jc w:val="center"/>
            </w:pPr>
            <w:r>
              <w:rPr>
                <w:b/>
                <w:color w:val="FFFFFF"/>
                <w:sz w:val="19"/>
              </w:rPr>
              <w:t>Gate</w:t>
            </w:r>
          </w:p>
        </w:tc>
        <w:tc>
          <w:tcPr>
            <w:tcW w:w="4176" w:type="dxa"/>
            <w:tcBorders>
              <w:top w:val="single" w:sz="10" w:space="0" w:color="376996"/>
              <w:left w:val="single" w:sz="10" w:space="0" w:color="376996"/>
              <w:bottom w:val="single" w:sz="10" w:space="0" w:color="376996"/>
              <w:right w:val="single" w:sz="10" w:space="0" w:color="376996"/>
            </w:tcBorders>
            <w:shd w:val="clear" w:color="auto" w:fill="376996"/>
            <w:tcMar>
              <w:top w:w="120" w:type="dxa"/>
              <w:left w:w="110" w:type="dxa"/>
              <w:bottom w:w="120" w:type="dxa"/>
              <w:right w:w="110" w:type="dxa"/>
            </w:tcMar>
            <w:vAlign w:val="center"/>
          </w:tcPr>
          <w:p w14:paraId="463B9EB2" w14:textId="77777777" w:rsidR="006A213E" w:rsidRDefault="00000000">
            <w:pPr>
              <w:pStyle w:val="BodyTight"/>
              <w:spacing w:after="0"/>
              <w:jc w:val="center"/>
            </w:pPr>
            <w:r>
              <w:rPr>
                <w:b/>
                <w:color w:val="FFFFFF"/>
                <w:sz w:val="19"/>
              </w:rPr>
              <w:t>Required outcome</w:t>
            </w:r>
          </w:p>
        </w:tc>
        <w:tc>
          <w:tcPr>
            <w:tcW w:w="2808" w:type="dxa"/>
            <w:tcBorders>
              <w:top w:val="single" w:sz="10" w:space="0" w:color="376996"/>
              <w:left w:val="single" w:sz="10" w:space="0" w:color="376996"/>
              <w:bottom w:val="single" w:sz="10" w:space="0" w:color="376996"/>
              <w:right w:val="single" w:sz="10" w:space="0" w:color="376996"/>
            </w:tcBorders>
            <w:shd w:val="clear" w:color="auto" w:fill="376996"/>
            <w:tcMar>
              <w:top w:w="120" w:type="dxa"/>
              <w:left w:w="110" w:type="dxa"/>
              <w:bottom w:w="120" w:type="dxa"/>
              <w:right w:w="110" w:type="dxa"/>
            </w:tcMar>
            <w:vAlign w:val="center"/>
          </w:tcPr>
          <w:p w14:paraId="7843ED66" w14:textId="77777777" w:rsidR="006A213E" w:rsidRDefault="00000000">
            <w:pPr>
              <w:pStyle w:val="BodyTight"/>
              <w:spacing w:after="0"/>
              <w:jc w:val="center"/>
            </w:pPr>
            <w:r>
              <w:rPr>
                <w:b/>
                <w:color w:val="FFFFFF"/>
                <w:sz w:val="19"/>
              </w:rPr>
              <w:t>Hard stop if absent</w:t>
            </w:r>
          </w:p>
        </w:tc>
      </w:tr>
      <w:tr w:rsidR="006A213E" w14:paraId="7B65C74E" w14:textId="77777777">
        <w:trPr>
          <w:cantSplit/>
          <w:jc w:val="center"/>
        </w:trPr>
        <w:tc>
          <w:tcPr>
            <w:tcW w:w="1800"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0D5071DA" w14:textId="77777777" w:rsidR="006A213E" w:rsidRDefault="00000000">
            <w:pPr>
              <w:pStyle w:val="BodyTight"/>
              <w:spacing w:after="0"/>
              <w:jc w:val="center"/>
            </w:pPr>
            <w:r>
              <w:rPr>
                <w:b/>
                <w:sz w:val="18"/>
              </w:rPr>
              <w:t>Gate 1 — Parameter freeze</w:t>
            </w:r>
          </w:p>
        </w:tc>
        <w:tc>
          <w:tcPr>
            <w:tcW w:w="417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622C648D" w14:textId="77777777" w:rsidR="006A213E" w:rsidRDefault="00000000">
            <w:pPr>
              <w:pStyle w:val="BodyTight"/>
              <w:spacing w:after="0"/>
            </w:pPr>
            <w:r>
              <w:rPr>
                <w:sz w:val="18"/>
              </w:rPr>
              <w:t>Canonical decisions on beta cluster size, epoch duration, certificate threshold, parent-diversity floor, and safe-fallback profile.</w:t>
            </w:r>
          </w:p>
        </w:tc>
        <w:tc>
          <w:tcPr>
            <w:tcW w:w="280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C1A6371" w14:textId="77777777" w:rsidR="006A213E" w:rsidRDefault="00000000">
            <w:pPr>
              <w:pStyle w:val="BodyTight"/>
              <w:spacing w:after="0"/>
            </w:pPr>
            <w:r>
              <w:rPr>
                <w:sz w:val="18"/>
              </w:rPr>
              <w:t>Do not implement DAG ordering with unresolved parameter drift.</w:t>
            </w:r>
          </w:p>
        </w:tc>
      </w:tr>
      <w:tr w:rsidR="006A213E" w14:paraId="1B946743" w14:textId="77777777">
        <w:trPr>
          <w:cantSplit/>
          <w:jc w:val="center"/>
        </w:trPr>
        <w:tc>
          <w:tcPr>
            <w:tcW w:w="1800"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A9BF2B3" w14:textId="77777777" w:rsidR="006A213E" w:rsidRDefault="00000000">
            <w:pPr>
              <w:pStyle w:val="BodyTight"/>
              <w:spacing w:after="0"/>
              <w:jc w:val="center"/>
            </w:pPr>
            <w:r>
              <w:rPr>
                <w:b/>
                <w:sz w:val="18"/>
              </w:rPr>
              <w:t>Gate 2 — Schema and test vectors</w:t>
            </w:r>
          </w:p>
        </w:tc>
        <w:tc>
          <w:tcPr>
            <w:tcW w:w="417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1BBA7E24" w14:textId="77777777" w:rsidR="006A213E" w:rsidRDefault="00000000">
            <w:pPr>
              <w:pStyle w:val="BodyTight"/>
              <w:spacing w:after="0"/>
            </w:pPr>
            <w:r>
              <w:rPr>
                <w:sz w:val="18"/>
              </w:rPr>
              <w:t>Finalized object formats, signature domains, and deterministic cut test vectors.</w:t>
            </w:r>
          </w:p>
        </w:tc>
        <w:tc>
          <w:tcPr>
            <w:tcW w:w="280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C85FEFF" w14:textId="77777777" w:rsidR="006A213E" w:rsidRDefault="00000000">
            <w:pPr>
              <w:pStyle w:val="BodyTight"/>
              <w:spacing w:after="0"/>
            </w:pPr>
            <w:r>
              <w:rPr>
                <w:sz w:val="18"/>
              </w:rPr>
              <w:t>No multi-team implementation without canonical vectors.</w:t>
            </w:r>
          </w:p>
        </w:tc>
      </w:tr>
      <w:tr w:rsidR="006A213E" w14:paraId="1C3670F5" w14:textId="77777777">
        <w:trPr>
          <w:cantSplit/>
          <w:jc w:val="center"/>
        </w:trPr>
        <w:tc>
          <w:tcPr>
            <w:tcW w:w="1800"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74A3B06" w14:textId="77777777" w:rsidR="006A213E" w:rsidRDefault="00000000">
            <w:pPr>
              <w:pStyle w:val="BodyTight"/>
              <w:spacing w:after="0"/>
              <w:jc w:val="center"/>
            </w:pPr>
            <w:r>
              <w:rPr>
                <w:b/>
                <w:sz w:val="18"/>
              </w:rPr>
              <w:t>Gate 3 — P2P hardening</w:t>
            </w:r>
          </w:p>
        </w:tc>
        <w:tc>
          <w:tcPr>
            <w:tcW w:w="417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65C72C2B" w14:textId="77777777" w:rsidR="006A213E" w:rsidRDefault="00000000">
            <w:pPr>
              <w:pStyle w:val="BodyTight"/>
              <w:spacing w:after="0"/>
            </w:pPr>
            <w:r>
              <w:rPr>
                <w:sz w:val="18"/>
              </w:rPr>
              <w:t>Cluster-authenticated transport, queue budgets, and message-family rate limits in place.</w:t>
            </w:r>
          </w:p>
        </w:tc>
        <w:tc>
          <w:tcPr>
            <w:tcW w:w="280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24F66968" w14:textId="77777777" w:rsidR="006A213E" w:rsidRDefault="00000000">
            <w:pPr>
              <w:pStyle w:val="BodyTight"/>
              <w:spacing w:after="0"/>
            </w:pPr>
            <w:r>
              <w:rPr>
                <w:sz w:val="18"/>
              </w:rPr>
              <w:t>No load testing on an unauthenticated raw DAG plane.</w:t>
            </w:r>
          </w:p>
        </w:tc>
      </w:tr>
      <w:tr w:rsidR="006A213E" w14:paraId="170209BD" w14:textId="77777777">
        <w:trPr>
          <w:cantSplit/>
          <w:jc w:val="center"/>
        </w:trPr>
        <w:tc>
          <w:tcPr>
            <w:tcW w:w="1800"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F9826FD" w14:textId="77777777" w:rsidR="006A213E" w:rsidRDefault="00000000">
            <w:pPr>
              <w:pStyle w:val="BodyTight"/>
              <w:spacing w:after="0"/>
              <w:jc w:val="center"/>
            </w:pPr>
            <w:r>
              <w:rPr>
                <w:b/>
                <w:sz w:val="18"/>
              </w:rPr>
              <w:t>Gate 4 — Validator verification path</w:t>
            </w:r>
          </w:p>
        </w:tc>
        <w:tc>
          <w:tcPr>
            <w:tcW w:w="417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3B1CBCC2" w14:textId="77777777" w:rsidR="006A213E" w:rsidRDefault="00000000">
            <w:pPr>
              <w:pStyle w:val="BodyTight"/>
              <w:spacing w:after="0"/>
            </w:pPr>
            <w:r>
              <w:rPr>
                <w:sz w:val="18"/>
              </w:rPr>
              <w:t>Every validator recomputes DAG roots before QC voting.</w:t>
            </w:r>
          </w:p>
        </w:tc>
        <w:tc>
          <w:tcPr>
            <w:tcW w:w="280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8823A43" w14:textId="77777777" w:rsidR="006A213E" w:rsidRDefault="00000000">
            <w:pPr>
              <w:pStyle w:val="BodyTight"/>
              <w:spacing w:after="0"/>
            </w:pPr>
            <w:r>
              <w:rPr>
                <w:sz w:val="18"/>
              </w:rPr>
              <w:t>No DAG-derived proposal may reach QC on proposer trust alone.</w:t>
            </w:r>
          </w:p>
        </w:tc>
      </w:tr>
      <w:tr w:rsidR="006A213E" w14:paraId="21B65F90" w14:textId="77777777">
        <w:trPr>
          <w:cantSplit/>
          <w:jc w:val="center"/>
        </w:trPr>
        <w:tc>
          <w:tcPr>
            <w:tcW w:w="1800"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443C52A1" w14:textId="77777777" w:rsidR="006A213E" w:rsidRDefault="00000000">
            <w:pPr>
              <w:pStyle w:val="BodyTight"/>
              <w:spacing w:after="0"/>
              <w:jc w:val="center"/>
            </w:pPr>
            <w:r>
              <w:rPr>
                <w:b/>
                <w:sz w:val="18"/>
              </w:rPr>
              <w:t>Gate 5 — Recovery and retention</w:t>
            </w:r>
          </w:p>
        </w:tc>
        <w:tc>
          <w:tcPr>
            <w:tcW w:w="4176"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593AC274" w14:textId="77777777" w:rsidR="006A213E" w:rsidRDefault="00000000">
            <w:pPr>
              <w:pStyle w:val="BodyTight"/>
              <w:spacing w:after="0"/>
            </w:pPr>
            <w:r>
              <w:rPr>
                <w:sz w:val="18"/>
              </w:rPr>
              <w:t>Archive, audit, evidence export, and prune gates implemented and exercised.</w:t>
            </w:r>
          </w:p>
        </w:tc>
        <w:tc>
          <w:tcPr>
            <w:tcW w:w="2808" w:type="dxa"/>
            <w:tcBorders>
              <w:top w:val="single" w:sz="6" w:space="0" w:color="D7E3EF"/>
              <w:left w:val="single" w:sz="6" w:space="0" w:color="D7E3EF"/>
              <w:bottom w:val="single" w:sz="6" w:space="0" w:color="D7E3EF"/>
              <w:right w:val="single" w:sz="6" w:space="0" w:color="D7E3EF"/>
            </w:tcBorders>
            <w:shd w:val="clear" w:color="auto" w:fill="F6F9FC"/>
            <w:tcMar>
              <w:top w:w="90" w:type="dxa"/>
              <w:left w:w="100" w:type="dxa"/>
              <w:bottom w:w="90" w:type="dxa"/>
              <w:right w:w="100" w:type="dxa"/>
            </w:tcMar>
            <w:vAlign w:val="center"/>
          </w:tcPr>
          <w:p w14:paraId="3E42BF6C" w14:textId="77777777" w:rsidR="006A213E" w:rsidRDefault="00000000">
            <w:pPr>
              <w:pStyle w:val="BodyTight"/>
              <w:spacing w:after="0"/>
            </w:pPr>
            <w:r>
              <w:rPr>
                <w:sz w:val="18"/>
              </w:rPr>
              <w:t>Do not enable pruning or long-lived DAG history without proof-backed recovery.</w:t>
            </w:r>
          </w:p>
        </w:tc>
      </w:tr>
      <w:tr w:rsidR="006A213E" w14:paraId="0CB1B097" w14:textId="77777777">
        <w:trPr>
          <w:cantSplit/>
          <w:jc w:val="center"/>
        </w:trPr>
        <w:tc>
          <w:tcPr>
            <w:tcW w:w="1800"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6C7CDC2B" w14:textId="77777777" w:rsidR="006A213E" w:rsidRDefault="00000000">
            <w:pPr>
              <w:pStyle w:val="BodyTight"/>
              <w:spacing w:after="0"/>
              <w:jc w:val="center"/>
            </w:pPr>
            <w:r>
              <w:rPr>
                <w:b/>
                <w:sz w:val="18"/>
              </w:rPr>
              <w:lastRenderedPageBreak/>
              <w:t>Gate 6 — RPC exposure audit</w:t>
            </w:r>
          </w:p>
        </w:tc>
        <w:tc>
          <w:tcPr>
            <w:tcW w:w="4176"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0D175B0E" w14:textId="77777777" w:rsidR="006A213E" w:rsidRDefault="00000000">
            <w:pPr>
              <w:pStyle w:val="BodyTight"/>
              <w:spacing w:after="0"/>
            </w:pPr>
            <w:r>
              <w:rPr>
                <w:sz w:val="18"/>
              </w:rPr>
              <w:t>Public, validator-private, operator, and audit profiles enforced and externally scanned.</w:t>
            </w:r>
          </w:p>
        </w:tc>
        <w:tc>
          <w:tcPr>
            <w:tcW w:w="2808" w:type="dxa"/>
            <w:tcBorders>
              <w:top w:val="single" w:sz="6" w:space="0" w:color="D7E3EF"/>
              <w:left w:val="single" w:sz="6" w:space="0" w:color="D7E3EF"/>
              <w:bottom w:val="single" w:sz="6" w:space="0" w:color="D7E3EF"/>
              <w:right w:val="single" w:sz="6" w:space="0" w:color="D7E3EF"/>
            </w:tcBorders>
            <w:shd w:val="clear" w:color="auto" w:fill="FFFFFF"/>
            <w:tcMar>
              <w:top w:w="90" w:type="dxa"/>
              <w:left w:w="100" w:type="dxa"/>
              <w:bottom w:w="90" w:type="dxa"/>
              <w:right w:w="100" w:type="dxa"/>
            </w:tcMar>
            <w:vAlign w:val="center"/>
          </w:tcPr>
          <w:p w14:paraId="540CDE1C" w14:textId="77777777" w:rsidR="006A213E" w:rsidRDefault="00000000">
            <w:pPr>
              <w:pStyle w:val="BodyTight"/>
              <w:spacing w:after="0"/>
            </w:pPr>
            <w:r>
              <w:rPr>
                <w:sz w:val="18"/>
              </w:rPr>
              <w:t>Do not publish DAG endpoints without profile verification.</w:t>
            </w:r>
          </w:p>
        </w:tc>
      </w:tr>
    </w:tbl>
    <w:p w14:paraId="17D05139" w14:textId="77777777" w:rsidR="006A213E" w:rsidRDefault="00000000">
      <w:r>
        <w:t>Governance may authorize DAG deployment, but governance may not authorize the validator runtime to violate mandatory invariants. If a requested policy would permit uncertified ordering, premature pruning, public private-batch exposure, or non-deterministic cut construction, the implementation must refuse it. That is not insubordination; it is the point of having a security specification.</w:t>
      </w:r>
    </w:p>
    <w:p w14:paraId="2DC8AC4F" w14:textId="77777777" w:rsidR="006A213E" w:rsidRDefault="00000000">
      <w:pPr>
        <w:pStyle w:val="Heading1"/>
      </w:pPr>
      <w:r>
        <w:rPr>
          <w:rFonts w:ascii="Arial" w:eastAsia="Arial" w:hAnsi="Arial"/>
        </w:rPr>
        <w:t>Document Information</w:t>
      </w:r>
    </w:p>
    <w:tbl>
      <w:tblPr>
        <w:tblW w:w="0" w:type="auto"/>
        <w:jc w:val="center"/>
        <w:tblLayout w:type="fixed"/>
        <w:tblLook w:val="04A0" w:firstRow="1" w:lastRow="0" w:firstColumn="1" w:lastColumn="0" w:noHBand="0" w:noVBand="1"/>
      </w:tblPr>
      <w:tblGrid>
        <w:gridCol w:w="2520"/>
        <w:gridCol w:w="6263"/>
      </w:tblGrid>
      <w:tr w:rsidR="006A213E" w14:paraId="7E0AFE8E" w14:textId="77777777">
        <w:trPr>
          <w:cantSplit/>
          <w:jc w:val="center"/>
        </w:trPr>
        <w:tc>
          <w:tcPr>
            <w:tcW w:w="2520" w:type="dxa"/>
            <w:tcBorders>
              <w:top w:val="single" w:sz="6" w:space="0" w:color="D7E3EF"/>
              <w:left w:val="single" w:sz="6" w:space="0" w:color="D7E3EF"/>
              <w:bottom w:val="single" w:sz="6" w:space="0" w:color="D7E3EF"/>
              <w:right w:val="single" w:sz="6" w:space="0" w:color="D7E3EF"/>
            </w:tcBorders>
            <w:shd w:val="clear" w:color="auto" w:fill="EAF2F8"/>
            <w:tcMar>
              <w:top w:w="60" w:type="dxa"/>
              <w:left w:w="100" w:type="dxa"/>
              <w:bottom w:w="60" w:type="dxa"/>
              <w:right w:w="100" w:type="dxa"/>
            </w:tcMar>
            <w:vAlign w:val="center"/>
          </w:tcPr>
          <w:p w14:paraId="068719CF" w14:textId="77777777" w:rsidR="006A213E" w:rsidRDefault="00000000">
            <w:pPr>
              <w:pStyle w:val="BodyTight"/>
              <w:spacing w:after="0"/>
            </w:pPr>
            <w:r>
              <w:rPr>
                <w:b/>
                <w:color w:val="1F4E78"/>
              </w:rPr>
              <w:t>Document title</w:t>
            </w:r>
          </w:p>
        </w:tc>
        <w:tc>
          <w:tcPr>
            <w:tcW w:w="6263" w:type="dxa"/>
            <w:tcBorders>
              <w:top w:val="single" w:sz="6" w:space="0" w:color="D7E3EF"/>
              <w:left w:val="single" w:sz="6" w:space="0" w:color="D7E3EF"/>
              <w:bottom w:val="single" w:sz="6" w:space="0" w:color="D7E3EF"/>
              <w:right w:val="single" w:sz="6" w:space="0" w:color="D7E3EF"/>
            </w:tcBorders>
            <w:tcMar>
              <w:top w:w="60" w:type="dxa"/>
              <w:left w:w="100" w:type="dxa"/>
              <w:bottom w:w="60" w:type="dxa"/>
              <w:right w:w="100" w:type="dxa"/>
            </w:tcMar>
            <w:vAlign w:val="center"/>
          </w:tcPr>
          <w:p w14:paraId="07F5DC24" w14:textId="77777777" w:rsidR="006A213E" w:rsidRDefault="00000000">
            <w:pPr>
              <w:pStyle w:val="BodyTight"/>
              <w:spacing w:after="0"/>
            </w:pPr>
            <w:r>
              <w:t>Synergy Network Security Implementation Specification v1.1 — DAG Extended</w:t>
            </w:r>
          </w:p>
        </w:tc>
      </w:tr>
      <w:tr w:rsidR="006A213E" w14:paraId="49243227" w14:textId="77777777">
        <w:trPr>
          <w:cantSplit/>
          <w:jc w:val="center"/>
        </w:trPr>
        <w:tc>
          <w:tcPr>
            <w:tcW w:w="2520" w:type="dxa"/>
            <w:tcBorders>
              <w:top w:val="single" w:sz="6" w:space="0" w:color="D7E3EF"/>
              <w:left w:val="single" w:sz="6" w:space="0" w:color="D7E3EF"/>
              <w:bottom w:val="single" w:sz="6" w:space="0" w:color="D7E3EF"/>
              <w:right w:val="single" w:sz="6" w:space="0" w:color="D7E3EF"/>
            </w:tcBorders>
            <w:shd w:val="clear" w:color="auto" w:fill="EAF2F8"/>
            <w:tcMar>
              <w:top w:w="60" w:type="dxa"/>
              <w:left w:w="100" w:type="dxa"/>
              <w:bottom w:w="60" w:type="dxa"/>
              <w:right w:w="100" w:type="dxa"/>
            </w:tcMar>
            <w:vAlign w:val="center"/>
          </w:tcPr>
          <w:p w14:paraId="06D4979C" w14:textId="77777777" w:rsidR="006A213E" w:rsidRDefault="00000000">
            <w:pPr>
              <w:pStyle w:val="BodyTight"/>
              <w:spacing w:after="0"/>
            </w:pPr>
            <w:r>
              <w:rPr>
                <w:b/>
                <w:color w:val="1F4E78"/>
              </w:rPr>
              <w:t>Supersession status</w:t>
            </w:r>
          </w:p>
        </w:tc>
        <w:tc>
          <w:tcPr>
            <w:tcW w:w="6263" w:type="dxa"/>
            <w:tcBorders>
              <w:top w:val="single" w:sz="6" w:space="0" w:color="D7E3EF"/>
              <w:left w:val="single" w:sz="6" w:space="0" w:color="D7E3EF"/>
              <w:bottom w:val="single" w:sz="6" w:space="0" w:color="D7E3EF"/>
              <w:right w:val="single" w:sz="6" w:space="0" w:color="D7E3EF"/>
            </w:tcBorders>
            <w:tcMar>
              <w:top w:w="60" w:type="dxa"/>
              <w:left w:w="100" w:type="dxa"/>
              <w:bottom w:w="60" w:type="dxa"/>
              <w:right w:w="100" w:type="dxa"/>
            </w:tcMar>
            <w:vAlign w:val="center"/>
          </w:tcPr>
          <w:p w14:paraId="24C8DF1D" w14:textId="77777777" w:rsidR="006A213E" w:rsidRDefault="00000000">
            <w:pPr>
              <w:pStyle w:val="BodyTight"/>
              <w:spacing w:after="0"/>
            </w:pPr>
            <w:r>
              <w:t>Normative DAG security extension to the baseline Security Implementation Specification v1.0. Baseline categories remain in force by incorporation.</w:t>
            </w:r>
          </w:p>
        </w:tc>
      </w:tr>
      <w:tr w:rsidR="006A213E" w14:paraId="7DE3CDC1" w14:textId="77777777">
        <w:trPr>
          <w:cantSplit/>
          <w:jc w:val="center"/>
        </w:trPr>
        <w:tc>
          <w:tcPr>
            <w:tcW w:w="2520" w:type="dxa"/>
            <w:tcBorders>
              <w:top w:val="single" w:sz="6" w:space="0" w:color="D7E3EF"/>
              <w:left w:val="single" w:sz="6" w:space="0" w:color="D7E3EF"/>
              <w:bottom w:val="single" w:sz="6" w:space="0" w:color="D7E3EF"/>
              <w:right w:val="single" w:sz="6" w:space="0" w:color="D7E3EF"/>
            </w:tcBorders>
            <w:shd w:val="clear" w:color="auto" w:fill="EAF2F8"/>
            <w:tcMar>
              <w:top w:w="60" w:type="dxa"/>
              <w:left w:w="100" w:type="dxa"/>
              <w:bottom w:w="60" w:type="dxa"/>
              <w:right w:w="100" w:type="dxa"/>
            </w:tcMar>
            <w:vAlign w:val="center"/>
          </w:tcPr>
          <w:p w14:paraId="0CA4DB1C" w14:textId="77777777" w:rsidR="006A213E" w:rsidRDefault="00000000">
            <w:pPr>
              <w:pStyle w:val="BodyTight"/>
              <w:spacing w:after="0"/>
            </w:pPr>
            <w:r>
              <w:rPr>
                <w:b/>
                <w:color w:val="1F4E78"/>
              </w:rPr>
              <w:t>Intended audience</w:t>
            </w:r>
          </w:p>
        </w:tc>
        <w:tc>
          <w:tcPr>
            <w:tcW w:w="6263" w:type="dxa"/>
            <w:tcBorders>
              <w:top w:val="single" w:sz="6" w:space="0" w:color="D7E3EF"/>
              <w:left w:val="single" w:sz="6" w:space="0" w:color="D7E3EF"/>
              <w:bottom w:val="single" w:sz="6" w:space="0" w:color="D7E3EF"/>
              <w:right w:val="single" w:sz="6" w:space="0" w:color="D7E3EF"/>
            </w:tcBorders>
            <w:tcMar>
              <w:top w:w="60" w:type="dxa"/>
              <w:left w:w="100" w:type="dxa"/>
              <w:bottom w:w="60" w:type="dxa"/>
              <w:right w:w="100" w:type="dxa"/>
            </w:tcMar>
            <w:vAlign w:val="center"/>
          </w:tcPr>
          <w:p w14:paraId="2B768BF4" w14:textId="77777777" w:rsidR="006A213E" w:rsidRDefault="00000000">
            <w:pPr>
              <w:pStyle w:val="BodyTight"/>
              <w:spacing w:after="0"/>
            </w:pPr>
            <w:r>
              <w:t>Core protocol engineers, validator-runtime engineers, RPC engineers, security auditors, archive/audit operators, and governance/security-council reviewers.</w:t>
            </w:r>
          </w:p>
        </w:tc>
      </w:tr>
      <w:tr w:rsidR="006A213E" w14:paraId="4A1DF7FB" w14:textId="77777777">
        <w:trPr>
          <w:cantSplit/>
          <w:jc w:val="center"/>
        </w:trPr>
        <w:tc>
          <w:tcPr>
            <w:tcW w:w="2520" w:type="dxa"/>
            <w:tcBorders>
              <w:top w:val="single" w:sz="6" w:space="0" w:color="D7E3EF"/>
              <w:left w:val="single" w:sz="6" w:space="0" w:color="D7E3EF"/>
              <w:bottom w:val="single" w:sz="6" w:space="0" w:color="D7E3EF"/>
              <w:right w:val="single" w:sz="6" w:space="0" w:color="D7E3EF"/>
            </w:tcBorders>
            <w:shd w:val="clear" w:color="auto" w:fill="EAF2F8"/>
            <w:tcMar>
              <w:top w:w="60" w:type="dxa"/>
              <w:left w:w="100" w:type="dxa"/>
              <w:bottom w:w="60" w:type="dxa"/>
              <w:right w:w="100" w:type="dxa"/>
            </w:tcMar>
            <w:vAlign w:val="center"/>
          </w:tcPr>
          <w:p w14:paraId="27595535" w14:textId="77777777" w:rsidR="006A213E" w:rsidRDefault="00000000">
            <w:pPr>
              <w:pStyle w:val="BodyTight"/>
              <w:spacing w:after="0"/>
            </w:pPr>
            <w:r>
              <w:rPr>
                <w:b/>
                <w:color w:val="1F4E78"/>
              </w:rPr>
              <w:t>Normative intent</w:t>
            </w:r>
          </w:p>
        </w:tc>
        <w:tc>
          <w:tcPr>
            <w:tcW w:w="6263" w:type="dxa"/>
            <w:tcBorders>
              <w:top w:val="single" w:sz="6" w:space="0" w:color="D7E3EF"/>
              <w:left w:val="single" w:sz="6" w:space="0" w:color="D7E3EF"/>
              <w:bottom w:val="single" w:sz="6" w:space="0" w:color="D7E3EF"/>
              <w:right w:val="single" w:sz="6" w:space="0" w:color="D7E3EF"/>
            </w:tcBorders>
            <w:tcMar>
              <w:top w:w="60" w:type="dxa"/>
              <w:left w:w="100" w:type="dxa"/>
              <w:bottom w:w="60" w:type="dxa"/>
              <w:right w:w="100" w:type="dxa"/>
            </w:tcMar>
            <w:vAlign w:val="center"/>
          </w:tcPr>
          <w:p w14:paraId="2926A1E8" w14:textId="77777777" w:rsidR="006A213E" w:rsidRDefault="00000000">
            <w:pPr>
              <w:pStyle w:val="BodyTight"/>
              <w:spacing w:after="0"/>
            </w:pPr>
            <w:r>
              <w:t>This document defines minimum acceptable controls, verification obligations, and deployment gates for Synergy DAG operation.</w:t>
            </w:r>
          </w:p>
        </w:tc>
      </w:tr>
      <w:tr w:rsidR="006A213E" w14:paraId="11B20C1C" w14:textId="77777777">
        <w:trPr>
          <w:cantSplit/>
          <w:jc w:val="center"/>
        </w:trPr>
        <w:tc>
          <w:tcPr>
            <w:tcW w:w="2520" w:type="dxa"/>
            <w:tcBorders>
              <w:top w:val="single" w:sz="6" w:space="0" w:color="D7E3EF"/>
              <w:left w:val="single" w:sz="6" w:space="0" w:color="D7E3EF"/>
              <w:bottom w:val="single" w:sz="6" w:space="0" w:color="D7E3EF"/>
              <w:right w:val="single" w:sz="6" w:space="0" w:color="D7E3EF"/>
            </w:tcBorders>
            <w:shd w:val="clear" w:color="auto" w:fill="EAF2F8"/>
            <w:tcMar>
              <w:top w:w="60" w:type="dxa"/>
              <w:left w:w="100" w:type="dxa"/>
              <w:bottom w:w="60" w:type="dxa"/>
              <w:right w:w="100" w:type="dxa"/>
            </w:tcMar>
            <w:vAlign w:val="center"/>
          </w:tcPr>
          <w:p w14:paraId="7ABF2296" w14:textId="77777777" w:rsidR="006A213E" w:rsidRDefault="00000000">
            <w:pPr>
              <w:pStyle w:val="BodyTight"/>
              <w:spacing w:after="0"/>
            </w:pPr>
            <w:r>
              <w:rPr>
                <w:b/>
                <w:color w:val="1F4E78"/>
              </w:rPr>
              <w:t>Related deliverables</w:t>
            </w:r>
          </w:p>
        </w:tc>
        <w:tc>
          <w:tcPr>
            <w:tcW w:w="6263" w:type="dxa"/>
            <w:tcBorders>
              <w:top w:val="single" w:sz="6" w:space="0" w:color="D7E3EF"/>
              <w:left w:val="single" w:sz="6" w:space="0" w:color="D7E3EF"/>
              <w:bottom w:val="single" w:sz="6" w:space="0" w:color="D7E3EF"/>
              <w:right w:val="single" w:sz="6" w:space="0" w:color="D7E3EF"/>
            </w:tcBorders>
            <w:tcMar>
              <w:top w:w="60" w:type="dxa"/>
              <w:left w:w="100" w:type="dxa"/>
              <w:bottom w:w="60" w:type="dxa"/>
              <w:right w:w="100" w:type="dxa"/>
            </w:tcMar>
            <w:vAlign w:val="center"/>
          </w:tcPr>
          <w:p w14:paraId="119EBC7F" w14:textId="77777777" w:rsidR="006A213E" w:rsidRDefault="00000000">
            <w:pPr>
              <w:pStyle w:val="BodyTight"/>
              <w:spacing w:after="0"/>
            </w:pPr>
            <w:r>
              <w:t>Synergy Network DAG Architecture &amp; Security Specification v1.0 and RPC Specification Part 3 — DAG Architecture, Availability, Forensics and Operations.</w:t>
            </w:r>
          </w:p>
        </w:tc>
      </w:tr>
    </w:tbl>
    <w:p w14:paraId="76875BF2" w14:textId="77777777" w:rsidR="00982ED6" w:rsidRDefault="00982ED6"/>
    <w:sectPr w:rsidR="00982ED6" w:rsidSect="00034616">
      <w:footerReference w:type="default" r:id="rId8"/>
      <w:pgSz w:w="12240" w:h="15840"/>
      <w:pgMar w:top="1080"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FC369" w14:textId="77777777" w:rsidR="00982ED6" w:rsidRDefault="00982ED6">
      <w:pPr>
        <w:spacing w:after="0" w:line="240" w:lineRule="auto"/>
      </w:pPr>
      <w:r>
        <w:separator/>
      </w:r>
    </w:p>
  </w:endnote>
  <w:endnote w:type="continuationSeparator" w:id="0">
    <w:p w14:paraId="47258883" w14:textId="77777777" w:rsidR="00982ED6" w:rsidRDefault="00982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0914" w14:textId="77777777" w:rsidR="006A213E" w:rsidRDefault="00000000">
    <w:pPr>
      <w:pStyle w:val="Footer"/>
      <w:jc w:val="center"/>
    </w:pPr>
    <w:r>
      <w:rPr>
        <w:color w:val="5B6570"/>
        <w:sz w:val="16"/>
      </w:rPr>
      <w:t>Synergy Network — Security Implementation Specification v1.1 — DAG Extended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711CA" w14:textId="77777777" w:rsidR="00982ED6" w:rsidRDefault="00982ED6">
      <w:pPr>
        <w:spacing w:after="0" w:line="240" w:lineRule="auto"/>
      </w:pPr>
      <w:r>
        <w:separator/>
      </w:r>
    </w:p>
  </w:footnote>
  <w:footnote w:type="continuationSeparator" w:id="0">
    <w:p w14:paraId="787BC9A6" w14:textId="77777777" w:rsidR="00982ED6" w:rsidRDefault="00982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899770">
    <w:abstractNumId w:val="8"/>
  </w:num>
  <w:num w:numId="2" w16cid:durableId="1036852111">
    <w:abstractNumId w:val="6"/>
  </w:num>
  <w:num w:numId="3" w16cid:durableId="1024789418">
    <w:abstractNumId w:val="5"/>
  </w:num>
  <w:num w:numId="4" w16cid:durableId="1244341016">
    <w:abstractNumId w:val="4"/>
  </w:num>
  <w:num w:numId="5" w16cid:durableId="794718961">
    <w:abstractNumId w:val="7"/>
  </w:num>
  <w:num w:numId="6" w16cid:durableId="1522356828">
    <w:abstractNumId w:val="3"/>
  </w:num>
  <w:num w:numId="7" w16cid:durableId="1083259050">
    <w:abstractNumId w:val="2"/>
  </w:num>
  <w:num w:numId="8" w16cid:durableId="1855217893">
    <w:abstractNumId w:val="1"/>
  </w:num>
  <w:num w:numId="9" w16cid:durableId="91358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864"/>
    <w:rsid w:val="00326F90"/>
    <w:rsid w:val="006A213E"/>
    <w:rsid w:val="009646A5"/>
    <w:rsid w:val="00982E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1DBA4"/>
  <w14:defaultImageDpi w14:val="300"/>
  <w15:docId w15:val="{EF7A7548-8903-0748-957B-7267566F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222222"/>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8"/>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376996"/>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769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ight">
    <w:name w:val="Body Tight"/>
    <w:basedOn w:val="Normal"/>
    <w:pPr>
      <w:spacing w:after="80" w:line="247" w:lineRule="auto"/>
    </w:pPr>
    <w:rPr>
      <w:sz w:val="20"/>
    </w:rPr>
  </w:style>
  <w:style w:type="paragraph" w:customStyle="1" w:styleId="SmallNote">
    <w:name w:val="Small Note"/>
    <w:basedOn w:val="Normal"/>
    <w:pPr>
      <w:spacing w:after="60" w:line="240" w:lineRule="auto"/>
    </w:pPr>
    <w:rPr>
      <w:color w:val="5B657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5232</Words>
  <Characters>33022</Characters>
  <Application>Microsoft Office Word</Application>
  <DocSecurity>0</DocSecurity>
  <Lines>1002</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Hutzler</cp:lastModifiedBy>
  <cp:revision>2</cp:revision>
  <dcterms:created xsi:type="dcterms:W3CDTF">2013-12-23T23:15:00Z</dcterms:created>
  <dcterms:modified xsi:type="dcterms:W3CDTF">2026-03-23T03:12:00Z</dcterms:modified>
  <cp:category/>
</cp:coreProperties>
</file>