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2EF8" w14:textId="77777777" w:rsidR="001F6EB4" w:rsidRDefault="00000000">
      <w:pPr>
        <w:spacing w:after="173" w:line="259" w:lineRule="auto"/>
        <w:ind w:left="0" w:right="44" w:firstLine="0"/>
        <w:jc w:val="center"/>
      </w:pPr>
      <w:r>
        <w:rPr>
          <w:rFonts w:cs="Calibri"/>
          <w:b/>
          <w:sz w:val="21"/>
          <w:u w:val="single" w:color="000000"/>
        </w:rPr>
        <w:t xml:space="preserve">Synergy Network </w:t>
      </w:r>
      <w:proofErr w:type="spellStart"/>
      <w:r>
        <w:rPr>
          <w:rFonts w:cs="Calibri"/>
          <w:b/>
          <w:sz w:val="21"/>
          <w:u w:val="single" w:color="000000"/>
        </w:rPr>
        <w:t>Tokenomics</w:t>
      </w:r>
      <w:proofErr w:type="spellEnd"/>
      <w:r>
        <w:rPr>
          <w:rFonts w:cs="Calibri"/>
          <w:b/>
          <w:sz w:val="21"/>
        </w:rPr>
        <w:t xml:space="preserve"> </w:t>
      </w:r>
    </w:p>
    <w:p w14:paraId="63F1ACE5" w14:textId="77777777" w:rsidR="001F6EB4" w:rsidRDefault="00000000">
      <w:pPr>
        <w:spacing w:after="168"/>
        <w:ind w:left="-5"/>
      </w:pPr>
      <w:r>
        <w:rPr>
          <w:rFonts w:cs="Calibri"/>
          <w:b/>
        </w:rPr>
        <w:t xml:space="preserve">1. Executive Summary </w:t>
      </w:r>
    </w:p>
    <w:p w14:paraId="4982AE00" w14:textId="77777777" w:rsidR="001F6EB4" w:rsidRDefault="00000000">
      <w:r>
        <w:rPr>
          <w:rFonts w:cs="Calibri"/>
          <w:b/>
        </w:rPr>
        <w:t>Token Name:</w:t>
      </w:r>
      <w:r>
        <w:t xml:space="preserve"> Synergy Token </w:t>
      </w:r>
      <w:r>
        <w:rPr>
          <w:rFonts w:cs="Calibri"/>
        </w:rPr>
        <w:t xml:space="preserve"> </w:t>
      </w:r>
    </w:p>
    <w:p w14:paraId="355A038D" w14:textId="77777777" w:rsidR="001F6EB4" w:rsidRDefault="00000000">
      <w:pPr>
        <w:pStyle w:val="Heading1"/>
        <w:ind w:left="-5"/>
      </w:pPr>
      <w:r>
        <w:t>Token Symbol:</w:t>
      </w:r>
      <w:r>
        <w:rPr>
          <w:b w:val="0"/>
        </w:rPr>
        <w:t xml:space="preserve"> SNRG </w:t>
      </w:r>
    </w:p>
    <w:p w14:paraId="594711FC" w14:textId="77777777" w:rsidR="001F6EB4" w:rsidRDefault="00000000">
      <w:r>
        <w:rPr>
          <w:rFonts w:cs="Calibri"/>
          <w:b/>
        </w:rPr>
        <w:t>Total Supply:</w:t>
      </w:r>
      <w:r>
        <w:t xml:space="preserve"> 12,000,000,000 SNRG (fixed, hard-capped, non-inflationary)</w:t>
      </w:r>
      <w:r>
        <w:rPr>
          <w:rFonts w:cs="Calibri"/>
        </w:rPr>
        <w:t xml:space="preserve"> </w:t>
      </w:r>
    </w:p>
    <w:p w14:paraId="1689E19E" w14:textId="77777777" w:rsidR="001F6EB4" w:rsidRDefault="00000000">
      <w:r>
        <w:rPr>
          <w:rFonts w:cs="Calibri"/>
          <w:b/>
        </w:rPr>
        <w:t>Minting:</w:t>
      </w:r>
      <w:r>
        <w:t xml:space="preserve"> Disabled after genesis</w:t>
      </w:r>
      <w:r>
        <w:rPr>
          <w:rFonts w:cs="Calibri"/>
        </w:rPr>
        <w:t xml:space="preserve"> </w:t>
      </w:r>
    </w:p>
    <w:p w14:paraId="42A1218C" w14:textId="77777777" w:rsidR="001F6EB4" w:rsidRDefault="00000000">
      <w:pPr>
        <w:spacing w:after="187"/>
      </w:pPr>
      <w:r>
        <w:rPr>
          <w:rFonts w:cs="Calibri"/>
          <w:b/>
        </w:rPr>
        <w:t xml:space="preserve">Utility: </w:t>
      </w:r>
      <w:r>
        <w:t>SNRG is the native governance, security, staking, and economic coordination token of the Synergy Network.</w:t>
      </w:r>
      <w:r>
        <w:rPr>
          <w:rFonts w:cs="Calibri"/>
        </w:rPr>
        <w:t xml:space="preserve"> </w:t>
      </w:r>
      <w:r>
        <w:rPr>
          <w:rFonts w:cs="Calibri"/>
          <w:b/>
        </w:rPr>
        <w:t>Primary Functions:</w:t>
      </w:r>
      <w:r>
        <w:rPr>
          <w:rFonts w:cs="Calibri"/>
        </w:rPr>
        <w:t xml:space="preserve"> </w:t>
      </w:r>
    </w:p>
    <w:p w14:paraId="3A90C5B6" w14:textId="77777777" w:rsidR="001F6EB4" w:rsidRDefault="00000000">
      <w:pPr>
        <w:numPr>
          <w:ilvl w:val="0"/>
          <w:numId w:val="1"/>
        </w:numPr>
        <w:ind w:hanging="360"/>
      </w:pPr>
      <w:r>
        <w:t>Validator staking and network security</w:t>
      </w:r>
      <w:r>
        <w:rPr>
          <w:rFonts w:cs="Calibri"/>
        </w:rPr>
        <w:t xml:space="preserve"> </w:t>
      </w:r>
    </w:p>
    <w:p w14:paraId="5EFDA664" w14:textId="77777777" w:rsidR="001F6EB4" w:rsidRDefault="00000000">
      <w:pPr>
        <w:numPr>
          <w:ilvl w:val="0"/>
          <w:numId w:val="1"/>
        </w:numPr>
        <w:ind w:hanging="360"/>
      </w:pPr>
      <w:r>
        <w:t>Governance and DAO voting</w:t>
      </w:r>
      <w:r>
        <w:rPr>
          <w:rFonts w:cs="Calibri"/>
        </w:rPr>
        <w:t xml:space="preserve"> </w:t>
      </w:r>
    </w:p>
    <w:p w14:paraId="43E52AE9" w14:textId="77777777" w:rsidR="001F6EB4" w:rsidRDefault="00000000">
      <w:pPr>
        <w:numPr>
          <w:ilvl w:val="0"/>
          <w:numId w:val="1"/>
        </w:numPr>
        <w:ind w:hanging="360"/>
      </w:pPr>
      <w:r>
        <w:t>Protocol fees and network services</w:t>
      </w:r>
      <w:r>
        <w:rPr>
          <w:rFonts w:cs="Calibri"/>
        </w:rPr>
        <w:t xml:space="preserve"> </w:t>
      </w:r>
    </w:p>
    <w:p w14:paraId="49AC0BA7" w14:textId="77777777" w:rsidR="001F6EB4" w:rsidRDefault="00000000">
      <w:pPr>
        <w:numPr>
          <w:ilvl w:val="0"/>
          <w:numId w:val="1"/>
        </w:numPr>
        <w:ind w:hanging="360"/>
      </w:pPr>
      <w:r>
        <w:t>Ecosystem incentives and developer rewards</w:t>
      </w:r>
      <w:r>
        <w:rPr>
          <w:rFonts w:cs="Calibri"/>
        </w:rPr>
        <w:t xml:space="preserve"> </w:t>
      </w:r>
    </w:p>
    <w:p w14:paraId="6847EBCB" w14:textId="77777777" w:rsidR="001F6EB4" w:rsidRDefault="00000000">
      <w:pPr>
        <w:numPr>
          <w:ilvl w:val="0"/>
          <w:numId w:val="1"/>
        </w:numPr>
        <w:spacing w:after="149"/>
        <w:ind w:hanging="360"/>
      </w:pPr>
      <w:r>
        <w:t>Economic coordination across the Synergy Network</w:t>
      </w:r>
      <w:r>
        <w:rPr>
          <w:rFonts w:cs="Calibri"/>
        </w:rPr>
        <w:t xml:space="preserve"> </w:t>
      </w:r>
    </w:p>
    <w:p w14:paraId="2A2DBAB1" w14:textId="77777777" w:rsidR="001F6EB4" w:rsidRDefault="00000000">
      <w:pPr>
        <w:spacing w:after="223"/>
      </w:pPr>
      <w:r>
        <w:t xml:space="preserve">SNRG is designed as a </w:t>
      </w:r>
      <w:r>
        <w:rPr>
          <w:rFonts w:cs="Calibri"/>
          <w:b/>
        </w:rPr>
        <w:t>long-term coordination and security asset</w:t>
      </w:r>
      <w:r>
        <w:t>, not a short-term speculative instrument.</w:t>
      </w:r>
      <w:r>
        <w:rPr>
          <w:rFonts w:cs="Calibri"/>
        </w:rPr>
        <w:t xml:space="preserve"> </w:t>
      </w:r>
    </w:p>
    <w:p w14:paraId="375FDA04" w14:textId="77777777" w:rsidR="001F6EB4" w:rsidRDefault="00000000">
      <w:pPr>
        <w:spacing w:after="126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77B4E4B3" wp14:editId="71B6AF78">
                <wp:extent cx="5946204" cy="6350"/>
                <wp:effectExtent l="0" t="0" r="0" b="0"/>
                <wp:docPr id="8646" name="Group 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240" name="Shape 924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1" name="Shape 9241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2" name="Shape 9242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3" name="Shape 924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4" name="Shape 9244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5" name="Shape 9245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6" style="width:468.205pt;height:0.5pt;mso-position-horizontal-relative:char;mso-position-vertical-relative:line" coordsize="59462,63">
                <v:shape id="Shape 924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47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48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50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51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733B8A64" w14:textId="77777777" w:rsidR="001F6EB4" w:rsidRDefault="00000000">
      <w:pPr>
        <w:spacing w:after="173"/>
        <w:ind w:left="-5"/>
      </w:pPr>
      <w:r>
        <w:rPr>
          <w:rFonts w:cs="Calibri"/>
          <w:b/>
        </w:rPr>
        <w:t xml:space="preserve">2. Allocation Overview </w:t>
      </w:r>
    </w:p>
    <w:p w14:paraId="4E390E58" w14:textId="77777777" w:rsidR="001F6EB4" w:rsidRDefault="00000000">
      <w:pPr>
        <w:pStyle w:val="Heading1"/>
        <w:ind w:left="-5"/>
      </w:pPr>
      <w:r>
        <w:rPr>
          <w:b w:val="0"/>
        </w:rPr>
        <w:t xml:space="preserve">Total Supply: </w:t>
      </w:r>
      <w:r>
        <w:t>12,000,000,000 SNRG</w:t>
      </w:r>
      <w:r>
        <w:rPr>
          <w:b w:val="0"/>
        </w:rPr>
        <w:t xml:space="preserve"> </w:t>
      </w:r>
    </w:p>
    <w:tbl>
      <w:tblPr>
        <w:tblStyle w:val="TableGrid"/>
        <w:tblW w:w="6498" w:type="dxa"/>
        <w:tblInd w:w="5" w:type="dxa"/>
        <w:tblCellMar>
          <w:top w:w="55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4037"/>
        <w:gridCol w:w="1845"/>
        <w:gridCol w:w="616"/>
      </w:tblGrid>
      <w:tr w:rsidR="001F6EB4" w14:paraId="38D58C3B" w14:textId="77777777">
        <w:trPr>
          <w:trHeight w:val="265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DE83515" w14:textId="77777777" w:rsidR="001F6EB4" w:rsidRDefault="00000000">
            <w:pPr>
              <w:spacing w:after="0" w:line="259" w:lineRule="auto"/>
              <w:ind w:left="1251" w:firstLine="0"/>
            </w:pPr>
            <w:r>
              <w:rPr>
                <w:b/>
                <w:color w:val="FFFFFF"/>
              </w:rPr>
              <w:t xml:space="preserve">Category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0497524" w14:textId="77777777" w:rsidR="001F6EB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Tokens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1FD25A" w14:textId="77777777" w:rsidR="001F6EB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% </w:t>
            </w:r>
          </w:p>
        </w:tc>
      </w:tr>
      <w:tr w:rsidR="001F6EB4" w14:paraId="23AF808D" w14:textId="77777777">
        <w:trPr>
          <w:trHeight w:val="359"/>
        </w:trPr>
        <w:tc>
          <w:tcPr>
            <w:tcW w:w="4037" w:type="dxa"/>
            <w:tcBorders>
              <w:top w:val="nil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73717C7C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Validators / Staking / Security 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63C1A512" w14:textId="77777777" w:rsidR="001F6EB4" w:rsidRDefault="00000000">
            <w:pPr>
              <w:spacing w:after="0" w:line="259" w:lineRule="auto"/>
              <w:ind w:left="105" w:firstLine="0"/>
            </w:pPr>
            <w:r>
              <w:t xml:space="preserve">2,400,000,000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6E67F54" w14:textId="77777777" w:rsidR="001F6EB4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20.0% </w:t>
            </w:r>
          </w:p>
        </w:tc>
      </w:tr>
      <w:tr w:rsidR="001F6EB4" w14:paraId="08220F60" w14:textId="77777777">
        <w:trPr>
          <w:trHeight w:val="363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1EE35C32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Token Sales (Initial, Private &amp; Public)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13549BC5" w14:textId="77777777" w:rsidR="001F6EB4" w:rsidRDefault="00000000">
            <w:pPr>
              <w:spacing w:after="0" w:line="259" w:lineRule="auto"/>
              <w:ind w:left="105" w:firstLine="0"/>
            </w:pPr>
            <w:r>
              <w:t xml:space="preserve">4,200,000,000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2FE8917C" w14:textId="77777777" w:rsidR="001F6EB4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35.0% </w:t>
            </w:r>
          </w:p>
        </w:tc>
      </w:tr>
      <w:tr w:rsidR="001F6EB4" w14:paraId="6058E966" w14:textId="77777777">
        <w:trPr>
          <w:trHeight w:val="363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1DB49ABD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Ecosystem / Developer Incentives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34A0F55D" w14:textId="77777777" w:rsidR="001F6EB4" w:rsidRDefault="00000000">
            <w:pPr>
              <w:spacing w:after="0" w:line="259" w:lineRule="auto"/>
              <w:ind w:left="105" w:firstLine="0"/>
            </w:pPr>
            <w:r>
              <w:t xml:space="preserve">1,080,000,000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DF1CD2D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9.0% </w:t>
            </w:r>
          </w:p>
        </w:tc>
      </w:tr>
      <w:tr w:rsidR="001F6EB4" w14:paraId="1D56EDF3" w14:textId="77777777">
        <w:trPr>
          <w:trHeight w:val="363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4DFED4C8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Liquidity &amp; Market Infrastructure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4435D79F" w14:textId="77777777" w:rsidR="001F6EB4" w:rsidRDefault="00000000">
            <w:pPr>
              <w:spacing w:after="0" w:line="259" w:lineRule="auto"/>
              <w:ind w:left="105" w:firstLine="0"/>
            </w:pPr>
            <w:r>
              <w:t xml:space="preserve">1,200,000,000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609DB5DE" w14:textId="77777777" w:rsidR="001F6EB4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10.0% </w:t>
            </w:r>
          </w:p>
        </w:tc>
      </w:tr>
      <w:tr w:rsidR="001F6EB4" w14:paraId="6D8E6CF6" w14:textId="77777777">
        <w:trPr>
          <w:trHeight w:val="358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2AF35720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Marketing &amp; Growth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546223EA" w14:textId="77777777" w:rsidR="001F6EB4" w:rsidRDefault="00000000">
            <w:pPr>
              <w:spacing w:after="0" w:line="259" w:lineRule="auto"/>
              <w:ind w:left="105" w:firstLine="0"/>
            </w:pPr>
            <w:r>
              <w:t xml:space="preserve">1,020,000,000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408B82D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8.5% </w:t>
            </w:r>
          </w:p>
        </w:tc>
      </w:tr>
      <w:tr w:rsidR="001F6EB4" w14:paraId="500372E9" w14:textId="77777777">
        <w:trPr>
          <w:trHeight w:val="368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0BF718AD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Strategic Partnerships / Integrations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217A4957" w14:textId="77777777" w:rsidR="001F6EB4" w:rsidRDefault="00000000">
            <w:pPr>
              <w:spacing w:after="0" w:line="259" w:lineRule="auto"/>
              <w:ind w:left="260" w:firstLine="0"/>
            </w:pPr>
            <w:r>
              <w:t xml:space="preserve">600,000,000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6B5C53B0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5.0% </w:t>
            </w:r>
          </w:p>
        </w:tc>
      </w:tr>
      <w:tr w:rsidR="001F6EB4" w14:paraId="3ABE49BD" w14:textId="77777777">
        <w:trPr>
          <w:trHeight w:val="358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2F5C24BF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DAO / Governance Reserve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7CFA6D87" w14:textId="77777777" w:rsidR="001F6EB4" w:rsidRDefault="00000000">
            <w:pPr>
              <w:spacing w:after="0" w:line="259" w:lineRule="auto"/>
              <w:ind w:left="260" w:firstLine="0"/>
            </w:pPr>
            <w:r>
              <w:t xml:space="preserve">480,000,000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E48D273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4.0% </w:t>
            </w:r>
          </w:p>
        </w:tc>
      </w:tr>
      <w:tr w:rsidR="001F6EB4" w14:paraId="318348F2" w14:textId="77777777">
        <w:trPr>
          <w:trHeight w:val="367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311FA7D6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Foundation / Treasury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26767DDB" w14:textId="77777777" w:rsidR="001F6EB4" w:rsidRDefault="00000000">
            <w:pPr>
              <w:spacing w:after="0" w:line="259" w:lineRule="auto"/>
              <w:ind w:left="260" w:firstLine="0"/>
            </w:pPr>
            <w:r>
              <w:t xml:space="preserve">480,000,000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2AC70E7B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4.0% </w:t>
            </w:r>
          </w:p>
        </w:tc>
      </w:tr>
      <w:tr w:rsidR="001F6EB4" w14:paraId="166A19D4" w14:textId="77777777">
        <w:trPr>
          <w:trHeight w:val="371"/>
        </w:trPr>
        <w:tc>
          <w:tcPr>
            <w:tcW w:w="4037" w:type="dxa"/>
            <w:tcBorders>
              <w:top w:val="single" w:sz="4" w:space="0" w:color="666666"/>
              <w:left w:val="single" w:sz="4" w:space="0" w:color="666666"/>
              <w:bottom w:val="single" w:sz="18" w:space="0" w:color="666666"/>
              <w:right w:val="nil"/>
            </w:tcBorders>
            <w:shd w:val="clear" w:color="auto" w:fill="CCCCCC"/>
          </w:tcPr>
          <w:p w14:paraId="1492319A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Team &amp; Support </w:t>
            </w:r>
          </w:p>
        </w:tc>
        <w:tc>
          <w:tcPr>
            <w:tcW w:w="1845" w:type="dxa"/>
            <w:tcBorders>
              <w:top w:val="single" w:sz="4" w:space="0" w:color="666666"/>
              <w:left w:val="nil"/>
              <w:bottom w:val="single" w:sz="18" w:space="0" w:color="666666"/>
              <w:right w:val="nil"/>
            </w:tcBorders>
            <w:shd w:val="clear" w:color="auto" w:fill="CCCCCC"/>
          </w:tcPr>
          <w:p w14:paraId="47859193" w14:textId="77777777" w:rsidR="001F6EB4" w:rsidRDefault="00000000">
            <w:pPr>
              <w:spacing w:after="0" w:line="259" w:lineRule="auto"/>
              <w:ind w:left="260" w:firstLine="0"/>
            </w:pPr>
            <w:r>
              <w:t xml:space="preserve">540,000,000 </w:t>
            </w:r>
          </w:p>
        </w:tc>
        <w:tc>
          <w:tcPr>
            <w:tcW w:w="616" w:type="dxa"/>
            <w:tcBorders>
              <w:top w:val="single" w:sz="4" w:space="0" w:color="666666"/>
              <w:left w:val="nil"/>
              <w:bottom w:val="single" w:sz="18" w:space="0" w:color="666666"/>
              <w:right w:val="single" w:sz="4" w:space="0" w:color="666666"/>
            </w:tcBorders>
            <w:shd w:val="clear" w:color="auto" w:fill="CCCCCC"/>
          </w:tcPr>
          <w:p w14:paraId="6A2E89D1" w14:textId="77777777" w:rsidR="001F6EB4" w:rsidRDefault="00000000">
            <w:pPr>
              <w:spacing w:after="0" w:line="259" w:lineRule="auto"/>
              <w:ind w:left="110" w:firstLine="0"/>
            </w:pPr>
            <w:r>
              <w:t xml:space="preserve">4.5% </w:t>
            </w:r>
          </w:p>
        </w:tc>
      </w:tr>
      <w:tr w:rsidR="001F6EB4" w14:paraId="1780A0CC" w14:textId="77777777">
        <w:trPr>
          <w:trHeight w:val="383"/>
        </w:trPr>
        <w:tc>
          <w:tcPr>
            <w:tcW w:w="4037" w:type="dxa"/>
            <w:tcBorders>
              <w:top w:val="single" w:sz="18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7F6D9A00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45" w:type="dxa"/>
            <w:tcBorders>
              <w:top w:val="single" w:sz="18" w:space="0" w:color="666666"/>
              <w:left w:val="nil"/>
              <w:bottom w:val="single" w:sz="4" w:space="0" w:color="666666"/>
              <w:right w:val="nil"/>
            </w:tcBorders>
          </w:tcPr>
          <w:p w14:paraId="2AB9F6D9" w14:textId="77777777" w:rsidR="001F6EB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12,000,000,000</w:t>
            </w:r>
            <w:r>
              <w:t xml:space="preserve"> </w:t>
            </w:r>
          </w:p>
        </w:tc>
        <w:tc>
          <w:tcPr>
            <w:tcW w:w="616" w:type="dxa"/>
            <w:tcBorders>
              <w:top w:val="single" w:sz="18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3B3FBE9F" w14:textId="77777777" w:rsidR="001F6EB4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>100%</w:t>
            </w:r>
            <w:r>
              <w:t xml:space="preserve"> </w:t>
            </w:r>
          </w:p>
        </w:tc>
      </w:tr>
    </w:tbl>
    <w:p w14:paraId="3CA56D14" w14:textId="77777777" w:rsidR="001F6EB4" w:rsidRDefault="00000000">
      <w:pPr>
        <w:spacing w:after="131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087685F5" wp14:editId="45FDC91E">
                <wp:extent cx="5946204" cy="6350"/>
                <wp:effectExtent l="0" t="0" r="0" b="0"/>
                <wp:docPr id="8647" name="Group 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252" name="Shape 925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4" name="Shape 9254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5" name="Shape 925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6" name="Shape 9256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7" name="Shape 9257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7" style="width:468.205pt;height:0.5pt;mso-position-horizontal-relative:char;mso-position-vertical-relative:line" coordsize="59462,63">
                <v:shape id="Shape 925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59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60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6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62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63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3156703C" w14:textId="77777777" w:rsidR="001F6EB4" w:rsidRDefault="00000000">
      <w:pPr>
        <w:pStyle w:val="Heading1"/>
        <w:spacing w:after="168"/>
        <w:ind w:left="-5"/>
      </w:pPr>
      <w:r>
        <w:t xml:space="preserve">3. Locked Token Sale Architecture </w:t>
      </w:r>
    </w:p>
    <w:p w14:paraId="5C1C6AB6" w14:textId="77777777" w:rsidR="001F6EB4" w:rsidRDefault="00000000">
      <w:pPr>
        <w:spacing w:after="173"/>
        <w:ind w:left="-5"/>
      </w:pPr>
      <w:r>
        <w:t xml:space="preserve">All token sale participants receive a </w:t>
      </w:r>
      <w:r>
        <w:rPr>
          <w:rFonts w:cs="Calibri"/>
          <w:b/>
        </w:rPr>
        <w:t>locked SNRG entitlement token issued on the Base network</w:t>
      </w:r>
      <w:r>
        <w:t>.</w:t>
      </w:r>
      <w:r>
        <w:rPr>
          <w:rFonts w:cs="Calibri"/>
        </w:rPr>
        <w:t xml:space="preserve"> </w:t>
      </w:r>
    </w:p>
    <w:p w14:paraId="4936BBCE" w14:textId="77777777" w:rsidR="001F6EB4" w:rsidRDefault="00000000">
      <w:pPr>
        <w:spacing w:after="31"/>
      </w:pPr>
      <w:r>
        <w:t>These locked tokens:</w:t>
      </w:r>
      <w:r>
        <w:rPr>
          <w:rFonts w:cs="Calibri"/>
        </w:rPr>
        <w:t xml:space="preserve"> </w:t>
      </w:r>
    </w:p>
    <w:p w14:paraId="53CFB90F" w14:textId="77777777" w:rsidR="001F6EB4" w:rsidRDefault="00000000">
      <w:pPr>
        <w:pStyle w:val="Heading1"/>
        <w:tabs>
          <w:tab w:val="center" w:pos="407"/>
          <w:tab w:val="center" w:pos="1576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rPr>
          <w:b w:val="0"/>
        </w:rPr>
        <w:t xml:space="preserve">Are </w:t>
      </w:r>
      <w:r>
        <w:t>non-transferable</w:t>
      </w:r>
      <w:r>
        <w:rPr>
          <w:b w:val="0"/>
        </w:rPr>
        <w:t xml:space="preserve"> </w:t>
      </w:r>
    </w:p>
    <w:p w14:paraId="62FB4B84" w14:textId="77777777" w:rsidR="001F6EB4" w:rsidRDefault="00000000">
      <w:pPr>
        <w:numPr>
          <w:ilvl w:val="0"/>
          <w:numId w:val="2"/>
        </w:numPr>
        <w:ind w:hanging="360"/>
      </w:pPr>
      <w:r>
        <w:t>Cannot be traded on secondary markets</w:t>
      </w:r>
      <w:r>
        <w:rPr>
          <w:rFonts w:cs="Calibri"/>
        </w:rPr>
        <w:t xml:space="preserve"> </w:t>
      </w:r>
    </w:p>
    <w:p w14:paraId="5D8CE357" w14:textId="77777777" w:rsidR="001F6EB4" w:rsidRDefault="00000000">
      <w:pPr>
        <w:numPr>
          <w:ilvl w:val="0"/>
          <w:numId w:val="2"/>
        </w:numPr>
        <w:ind w:hanging="360"/>
      </w:pPr>
      <w:r>
        <w:t xml:space="preserve">Do </w:t>
      </w:r>
      <w:r>
        <w:rPr>
          <w:rFonts w:cs="Calibri"/>
          <w:b/>
        </w:rPr>
        <w:t>not</w:t>
      </w:r>
      <w:r>
        <w:t xml:space="preserve"> contribute to circulating supply</w:t>
      </w:r>
      <w:r>
        <w:rPr>
          <w:rFonts w:cs="Calibri"/>
        </w:rPr>
        <w:t xml:space="preserve"> </w:t>
      </w:r>
    </w:p>
    <w:p w14:paraId="00FA5906" w14:textId="77777777" w:rsidR="001F6EB4" w:rsidRDefault="00000000">
      <w:pPr>
        <w:numPr>
          <w:ilvl w:val="0"/>
          <w:numId w:val="2"/>
        </w:numPr>
        <w:spacing w:after="89"/>
        <w:ind w:hanging="360"/>
      </w:pPr>
      <w:r>
        <w:lastRenderedPageBreak/>
        <w:t xml:space="preserve">Represent a </w:t>
      </w:r>
      <w:r>
        <w:rPr>
          <w:rFonts w:cs="Calibri"/>
          <w:b/>
        </w:rPr>
        <w:t>vesting-controlled claim</w:t>
      </w:r>
      <w:r>
        <w:t xml:space="preserve"> on future native SNRG</w:t>
      </w:r>
      <w:r>
        <w:rPr>
          <w:rFonts w:cs="Calibri"/>
        </w:rPr>
        <w:t xml:space="preserve"> </w:t>
      </w:r>
    </w:p>
    <w:p w14:paraId="1F35FB8C" w14:textId="77777777" w:rsidR="001F6EB4" w:rsidRDefault="00000000">
      <w:pPr>
        <w:spacing w:after="0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341957D2" wp14:editId="4B4AD78C">
                <wp:extent cx="5946204" cy="6350"/>
                <wp:effectExtent l="0" t="0" r="0" b="0"/>
                <wp:docPr id="8648" name="Group 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264" name="Shape 926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5" name="Shape 9265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6" name="Shape 9266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7" name="Shape 92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8" name="Shape 9268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9" name="Shape 9269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8" style="width:468.205pt;height:0.5pt;mso-position-horizontal-relative:char;mso-position-vertical-relative:line" coordsize="59462,63">
                <v:shape id="Shape 927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1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72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4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75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74FFDE75" w14:textId="77777777" w:rsidR="001F6EB4" w:rsidRDefault="00000000">
      <w:pPr>
        <w:pStyle w:val="Heading1"/>
        <w:ind w:left="-5"/>
      </w:pPr>
      <w:r>
        <w:t xml:space="preserve">4. Token Sale Phases &amp; Pricing </w:t>
      </w:r>
    </w:p>
    <w:tbl>
      <w:tblPr>
        <w:tblStyle w:val="TableGrid"/>
        <w:tblW w:w="6298" w:type="dxa"/>
        <w:tblInd w:w="5" w:type="dxa"/>
        <w:tblCellMar>
          <w:top w:w="5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7"/>
        <w:gridCol w:w="1616"/>
        <w:gridCol w:w="1505"/>
      </w:tblGrid>
      <w:tr w:rsidR="001F6EB4" w14:paraId="63911C9F" w14:textId="77777777">
        <w:trPr>
          <w:trHeight w:val="265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06277A" w14:textId="77777777" w:rsidR="001F6EB4" w:rsidRDefault="00000000">
            <w:pPr>
              <w:spacing w:after="0" w:line="259" w:lineRule="auto"/>
              <w:ind w:left="1101" w:firstLine="0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22543DE" w14:textId="77777777" w:rsidR="001F6EB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Allocation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AA97F9A" w14:textId="77777777" w:rsidR="001F6EB4" w:rsidRDefault="00000000">
            <w:pPr>
              <w:spacing w:after="0" w:line="259" w:lineRule="auto"/>
              <w:ind w:left="400" w:firstLine="0"/>
            </w:pPr>
            <w:r>
              <w:rPr>
                <w:b/>
                <w:color w:val="FFFFFF"/>
              </w:rPr>
              <w:t xml:space="preserve">Price </w:t>
            </w:r>
          </w:p>
        </w:tc>
      </w:tr>
      <w:tr w:rsidR="001F6EB4" w14:paraId="3468CE19" w14:textId="77777777">
        <w:trPr>
          <w:trHeight w:val="309"/>
        </w:trPr>
        <w:tc>
          <w:tcPr>
            <w:tcW w:w="3177" w:type="dxa"/>
            <w:tcBorders>
              <w:top w:val="nil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5103EC42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Early Supporters Round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1E8B7A6B" w14:textId="77777777" w:rsidR="001F6EB4" w:rsidRDefault="00000000">
            <w:pPr>
              <w:spacing w:after="0" w:line="259" w:lineRule="auto"/>
              <w:ind w:left="205" w:firstLine="0"/>
            </w:pPr>
            <w:r>
              <w:t xml:space="preserve">600,000,000 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7E41790" w14:textId="77777777" w:rsidR="001F6EB4" w:rsidRDefault="00000000">
            <w:pPr>
              <w:spacing w:after="0" w:line="259" w:lineRule="auto"/>
              <w:ind w:left="275" w:firstLine="0"/>
            </w:pPr>
            <w:r>
              <w:t xml:space="preserve">$0.0026 </w:t>
            </w:r>
          </w:p>
        </w:tc>
      </w:tr>
      <w:tr w:rsidR="001F6EB4" w14:paraId="28A6BEE5" w14:textId="77777777">
        <w:trPr>
          <w:trHeight w:val="318"/>
        </w:trPr>
        <w:tc>
          <w:tcPr>
            <w:tcW w:w="31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 w14:paraId="33B7664E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Early Growth Round </w:t>
            </w:r>
          </w:p>
        </w:tc>
        <w:tc>
          <w:tcPr>
            <w:tcW w:w="1616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1DDC9448" w14:textId="77777777" w:rsidR="001F6EB4" w:rsidRDefault="00000000">
            <w:pPr>
              <w:spacing w:after="0" w:line="259" w:lineRule="auto"/>
              <w:ind w:left="205" w:firstLine="0"/>
            </w:pPr>
            <w:r>
              <w:t xml:space="preserve">900,000,000 </w:t>
            </w:r>
          </w:p>
        </w:tc>
        <w:tc>
          <w:tcPr>
            <w:tcW w:w="1505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 w14:paraId="32314EBF" w14:textId="77777777" w:rsidR="001F6EB4" w:rsidRDefault="00000000">
            <w:pPr>
              <w:spacing w:after="0" w:line="259" w:lineRule="auto"/>
              <w:ind w:left="275" w:firstLine="0"/>
            </w:pPr>
            <w:r>
              <w:t xml:space="preserve">$0.0038 </w:t>
            </w:r>
          </w:p>
        </w:tc>
      </w:tr>
      <w:tr w:rsidR="001F6EB4" w14:paraId="3D2C6C9C" w14:textId="77777777">
        <w:trPr>
          <w:trHeight w:val="313"/>
        </w:trPr>
        <w:tc>
          <w:tcPr>
            <w:tcW w:w="31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1FF611F0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Strategic / Private </w:t>
            </w:r>
          </w:p>
        </w:tc>
        <w:tc>
          <w:tcPr>
            <w:tcW w:w="1616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3E1AE740" w14:textId="77777777" w:rsidR="001F6EB4" w:rsidRDefault="00000000">
            <w:pPr>
              <w:spacing w:after="0" w:line="259" w:lineRule="auto"/>
              <w:ind w:left="50" w:firstLine="0"/>
            </w:pPr>
            <w:r>
              <w:t xml:space="preserve">1,200,000,000 </w:t>
            </w:r>
          </w:p>
        </w:tc>
        <w:tc>
          <w:tcPr>
            <w:tcW w:w="1505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9264B88" w14:textId="77777777" w:rsidR="001F6EB4" w:rsidRDefault="00000000">
            <w:pPr>
              <w:spacing w:after="0" w:line="259" w:lineRule="auto"/>
              <w:ind w:left="0" w:firstLine="0"/>
            </w:pPr>
            <w:r>
              <w:t xml:space="preserve">$0.008–$0.012 </w:t>
            </w:r>
          </w:p>
        </w:tc>
      </w:tr>
      <w:tr w:rsidR="001F6EB4" w14:paraId="0FDD37D9" w14:textId="77777777">
        <w:trPr>
          <w:trHeight w:val="340"/>
        </w:trPr>
        <w:tc>
          <w:tcPr>
            <w:tcW w:w="3177" w:type="dxa"/>
            <w:tcBorders>
              <w:top w:val="single" w:sz="4" w:space="0" w:color="666666"/>
              <w:left w:val="single" w:sz="4" w:space="0" w:color="666666"/>
              <w:bottom w:val="single" w:sz="18" w:space="0" w:color="666666"/>
              <w:right w:val="nil"/>
            </w:tcBorders>
          </w:tcPr>
          <w:p w14:paraId="6C4F6C18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Public Sale </w:t>
            </w:r>
          </w:p>
        </w:tc>
        <w:tc>
          <w:tcPr>
            <w:tcW w:w="1616" w:type="dxa"/>
            <w:tcBorders>
              <w:top w:val="single" w:sz="4" w:space="0" w:color="666666"/>
              <w:left w:val="nil"/>
              <w:bottom w:val="single" w:sz="18" w:space="0" w:color="666666"/>
              <w:right w:val="nil"/>
            </w:tcBorders>
          </w:tcPr>
          <w:p w14:paraId="3DF2C33D" w14:textId="77777777" w:rsidR="001F6EB4" w:rsidRDefault="00000000">
            <w:pPr>
              <w:spacing w:after="0" w:line="259" w:lineRule="auto"/>
              <w:ind w:left="50" w:firstLine="0"/>
            </w:pPr>
            <w:r>
              <w:t xml:space="preserve">1,500,000,000 </w:t>
            </w:r>
          </w:p>
        </w:tc>
        <w:tc>
          <w:tcPr>
            <w:tcW w:w="1505" w:type="dxa"/>
            <w:tcBorders>
              <w:top w:val="single" w:sz="4" w:space="0" w:color="666666"/>
              <w:left w:val="nil"/>
              <w:bottom w:val="single" w:sz="18" w:space="0" w:color="666666"/>
              <w:right w:val="single" w:sz="4" w:space="0" w:color="666666"/>
            </w:tcBorders>
          </w:tcPr>
          <w:p w14:paraId="2538D201" w14:textId="77777777" w:rsidR="001F6EB4" w:rsidRDefault="00000000">
            <w:pPr>
              <w:spacing w:after="0" w:line="259" w:lineRule="auto"/>
              <w:ind w:left="100" w:firstLine="0"/>
            </w:pPr>
            <w:r>
              <w:t xml:space="preserve">$0.02–$0.03 </w:t>
            </w:r>
          </w:p>
        </w:tc>
      </w:tr>
      <w:tr w:rsidR="001F6EB4" w14:paraId="056AB1C1" w14:textId="77777777">
        <w:trPr>
          <w:trHeight w:val="326"/>
        </w:trPr>
        <w:tc>
          <w:tcPr>
            <w:tcW w:w="3177" w:type="dxa"/>
            <w:tcBorders>
              <w:top w:val="single" w:sz="18" w:space="0" w:color="666666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CCCCCC"/>
          </w:tcPr>
          <w:p w14:paraId="34B43E40" w14:textId="77777777" w:rsidR="001F6EB4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616" w:type="dxa"/>
            <w:tcBorders>
              <w:top w:val="single" w:sz="18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01C4DC7E" w14:textId="77777777" w:rsidR="001F6EB4" w:rsidRDefault="00000000">
            <w:pPr>
              <w:spacing w:after="0" w:line="259" w:lineRule="auto"/>
              <w:ind w:left="45" w:firstLine="0"/>
            </w:pPr>
            <w:r>
              <w:rPr>
                <w:b/>
              </w:rPr>
              <w:t>4,200,000,000</w:t>
            </w:r>
            <w:r>
              <w:t xml:space="preserve"> </w:t>
            </w:r>
          </w:p>
        </w:tc>
        <w:tc>
          <w:tcPr>
            <w:tcW w:w="1505" w:type="dxa"/>
            <w:tcBorders>
              <w:top w:val="single" w:sz="18" w:space="0" w:color="666666"/>
              <w:left w:val="nil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84B8CEF" w14:textId="77777777" w:rsidR="001F6EB4" w:rsidRDefault="00000000">
            <w:pPr>
              <w:spacing w:after="0" w:line="259" w:lineRule="auto"/>
              <w:ind w:left="515" w:firstLine="0"/>
            </w:pPr>
            <w:r>
              <w:t xml:space="preserve">— </w:t>
            </w:r>
          </w:p>
        </w:tc>
      </w:tr>
    </w:tbl>
    <w:p w14:paraId="6931E5FE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A5139E9" w14:textId="77777777" w:rsidR="001F6EB4" w:rsidRDefault="00000000">
      <w:pPr>
        <w:spacing w:after="8"/>
        <w:ind w:left="-5" w:right="5644"/>
      </w:pPr>
      <w:r>
        <w:rPr>
          <w:rFonts w:cs="Calibri"/>
          <w:b/>
        </w:rPr>
        <w:t>Target Initial Public Listing Price:</w:t>
      </w:r>
      <w:r>
        <w:t xml:space="preserve"> $0.05</w:t>
      </w:r>
      <w:r>
        <w:rPr>
          <w:rFonts w:cs="Calibri"/>
        </w:rPr>
        <w:t xml:space="preserve"> </w:t>
      </w:r>
      <w:r>
        <w:t>Pricing reflects:</w:t>
      </w:r>
      <w:r>
        <w:rPr>
          <w:rFonts w:cs="Calibri"/>
        </w:rPr>
        <w:t xml:space="preserve"> </w:t>
      </w:r>
    </w:p>
    <w:p w14:paraId="5927640E" w14:textId="77777777" w:rsidR="001F6EB4" w:rsidRDefault="00000000">
      <w:pPr>
        <w:numPr>
          <w:ilvl w:val="0"/>
          <w:numId w:val="3"/>
        </w:numPr>
        <w:ind w:hanging="360"/>
      </w:pPr>
      <w:r>
        <w:t>Increasing network maturity</w:t>
      </w:r>
      <w:r>
        <w:rPr>
          <w:rFonts w:cs="Calibri"/>
        </w:rPr>
        <w:t xml:space="preserve"> </w:t>
      </w:r>
    </w:p>
    <w:p w14:paraId="573640B4" w14:textId="77777777" w:rsidR="001F6EB4" w:rsidRDefault="00000000">
      <w:pPr>
        <w:numPr>
          <w:ilvl w:val="0"/>
          <w:numId w:val="3"/>
        </w:numPr>
        <w:ind w:hanging="360"/>
      </w:pPr>
      <w:r>
        <w:t>Expanding access</w:t>
      </w:r>
      <w:r>
        <w:rPr>
          <w:rFonts w:cs="Calibri"/>
        </w:rPr>
        <w:t xml:space="preserve"> </w:t>
      </w:r>
    </w:p>
    <w:p w14:paraId="575D2E81" w14:textId="77777777" w:rsidR="001F6EB4" w:rsidRDefault="00000000">
      <w:pPr>
        <w:numPr>
          <w:ilvl w:val="0"/>
          <w:numId w:val="3"/>
        </w:numPr>
        <w:ind w:hanging="360"/>
      </w:pPr>
      <w:r>
        <w:t>Reduced execution risk over time</w:t>
      </w:r>
      <w:r>
        <w:rPr>
          <w:rFonts w:cs="Calibri"/>
        </w:rPr>
        <w:t xml:space="preserve"> </w:t>
      </w:r>
    </w:p>
    <w:p w14:paraId="2CCDE108" w14:textId="77777777" w:rsidR="001F6EB4" w:rsidRDefault="00000000">
      <w:pPr>
        <w:numPr>
          <w:ilvl w:val="0"/>
          <w:numId w:val="3"/>
        </w:numPr>
        <w:spacing w:after="89"/>
        <w:ind w:hanging="360"/>
      </w:pPr>
      <w:r>
        <w:t>Progressive reduction in discounting</w:t>
      </w:r>
      <w:r>
        <w:rPr>
          <w:rFonts w:cs="Calibri"/>
        </w:rPr>
        <w:t xml:space="preserve"> </w:t>
      </w:r>
    </w:p>
    <w:p w14:paraId="713EC566" w14:textId="77777777" w:rsidR="001F6EB4" w:rsidRDefault="00000000">
      <w:pPr>
        <w:spacing w:after="137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113C01E9" wp14:editId="4621F846">
                <wp:extent cx="5946204" cy="6350"/>
                <wp:effectExtent l="0" t="0" r="0" b="0"/>
                <wp:docPr id="8246" name="Group 8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276" name="Shape 927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7" name="Shape 9277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8" name="Shape 9278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9" name="Shape 927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0" name="Shape 9280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1" name="Shape 9281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6" style="width:468.205pt;height:0.5pt;mso-position-horizontal-relative:char;mso-position-vertical-relative:line" coordsize="59462,63">
                <v:shape id="Shape 928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83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84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8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86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87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1027BD90" w14:textId="77777777" w:rsidR="001F6EB4" w:rsidRDefault="00000000">
      <w:pPr>
        <w:pStyle w:val="Heading1"/>
        <w:ind w:left="-5"/>
      </w:pPr>
      <w:r>
        <w:t xml:space="preserve">5. Investor Vesting &amp; Unlock Schedules </w:t>
      </w:r>
    </w:p>
    <w:p w14:paraId="5F9FF92E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17273893" w14:textId="77777777" w:rsidR="001F6EB4" w:rsidRDefault="00000000">
      <w:pPr>
        <w:spacing w:after="31"/>
        <w:ind w:left="461"/>
      </w:pPr>
      <w:r>
        <w:rPr>
          <w:rFonts w:cs="Calibri"/>
          <w:b/>
        </w:rPr>
        <w:t xml:space="preserve">5.1 Early Supporters ($0.0026) </w:t>
      </w:r>
    </w:p>
    <w:p w14:paraId="56B2113B" w14:textId="77777777" w:rsidR="001F6EB4" w:rsidRDefault="00000000">
      <w:pPr>
        <w:tabs>
          <w:tab w:val="center" w:pos="587"/>
          <w:tab w:val="center" w:pos="2163"/>
        </w:tabs>
        <w:ind w:lef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Calibri"/>
          <w:b/>
        </w:rPr>
        <w:t>Instrument:</w:t>
      </w:r>
      <w:r>
        <w:t xml:space="preserve"> Locked Base token</w:t>
      </w:r>
      <w:r>
        <w:rPr>
          <w:rFonts w:cs="Calibri"/>
        </w:rPr>
        <w:t xml:space="preserve"> </w:t>
      </w:r>
    </w:p>
    <w:p w14:paraId="084BD642" w14:textId="77777777" w:rsidR="001F6EB4" w:rsidRDefault="00000000">
      <w:pPr>
        <w:pStyle w:val="Heading1"/>
        <w:tabs>
          <w:tab w:val="center" w:pos="587"/>
          <w:tab w:val="center" w:pos="1542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TGE Unlock:</w:t>
      </w:r>
      <w:r>
        <w:rPr>
          <w:b w:val="0"/>
        </w:rPr>
        <w:t xml:space="preserve"> 5% </w:t>
      </w:r>
    </w:p>
    <w:p w14:paraId="606762F0" w14:textId="77777777" w:rsidR="001F6EB4" w:rsidRDefault="00000000">
      <w:pPr>
        <w:numPr>
          <w:ilvl w:val="0"/>
          <w:numId w:val="4"/>
        </w:numPr>
        <w:ind w:hanging="360"/>
      </w:pPr>
      <w:r>
        <w:rPr>
          <w:rFonts w:cs="Calibri"/>
          <w:b/>
        </w:rPr>
        <w:t>Cliff:</w:t>
      </w:r>
      <w:r>
        <w:t xml:space="preserve"> 6 months</w:t>
      </w:r>
      <w:r>
        <w:rPr>
          <w:rFonts w:cs="Calibri"/>
        </w:rPr>
        <w:t xml:space="preserve"> </w:t>
      </w:r>
    </w:p>
    <w:p w14:paraId="794B7D88" w14:textId="77777777" w:rsidR="001F6EB4" w:rsidRDefault="00000000">
      <w:pPr>
        <w:numPr>
          <w:ilvl w:val="0"/>
          <w:numId w:val="4"/>
        </w:numPr>
        <w:ind w:hanging="360"/>
      </w:pPr>
      <w:r>
        <w:rPr>
          <w:rFonts w:cs="Calibri"/>
          <w:b/>
        </w:rPr>
        <w:t>Remaining:</w:t>
      </w:r>
      <w:r>
        <w:t xml:space="preserve"> Linear vesting over 24 months</w:t>
      </w:r>
      <w:r>
        <w:rPr>
          <w:rFonts w:cs="Calibri"/>
        </w:rPr>
        <w:t xml:space="preserve"> </w:t>
      </w:r>
    </w:p>
    <w:p w14:paraId="601BBD45" w14:textId="77777777" w:rsidR="001F6EB4" w:rsidRDefault="00000000">
      <w:pPr>
        <w:numPr>
          <w:ilvl w:val="0"/>
          <w:numId w:val="4"/>
        </w:numPr>
        <w:ind w:hanging="360"/>
      </w:pPr>
      <w:r>
        <w:rPr>
          <w:rFonts w:cs="Calibri"/>
          <w:b/>
        </w:rPr>
        <w:t>Redemption:</w:t>
      </w:r>
      <w:r>
        <w:t xml:space="preserve"> Gradual migration to native SNRG</w:t>
      </w:r>
      <w:r>
        <w:rPr>
          <w:rFonts w:cs="Calibri"/>
        </w:rPr>
        <w:t xml:space="preserve"> </w:t>
      </w:r>
    </w:p>
    <w:p w14:paraId="2338EB71" w14:textId="77777777" w:rsidR="001F6EB4" w:rsidRDefault="00000000">
      <w:pPr>
        <w:spacing w:after="21" w:line="259" w:lineRule="auto"/>
        <w:ind w:left="451" w:firstLine="0"/>
      </w:pPr>
      <w:r>
        <w:rPr>
          <w:rFonts w:cs="Calibri"/>
        </w:rPr>
        <w:t xml:space="preserve"> </w:t>
      </w:r>
    </w:p>
    <w:p w14:paraId="59AD0CB1" w14:textId="77777777" w:rsidR="001F6EB4" w:rsidRDefault="00000000">
      <w:pPr>
        <w:spacing w:after="8"/>
        <w:ind w:left="461"/>
      </w:pPr>
      <w:r>
        <w:rPr>
          <w:rFonts w:cs="Calibri"/>
          <w:b/>
        </w:rPr>
        <w:t xml:space="preserve">5.2 Early Growth Round ($0.0038) </w:t>
      </w:r>
    </w:p>
    <w:p w14:paraId="5ECCB672" w14:textId="77777777" w:rsidR="001F6EB4" w:rsidRDefault="00000000">
      <w:pPr>
        <w:numPr>
          <w:ilvl w:val="0"/>
          <w:numId w:val="4"/>
        </w:numPr>
        <w:ind w:hanging="360"/>
      </w:pPr>
      <w:r>
        <w:rPr>
          <w:rFonts w:cs="Calibri"/>
          <w:b/>
        </w:rPr>
        <w:t>Instrument:</w:t>
      </w:r>
      <w:r>
        <w:t xml:space="preserve"> Locked Base token</w:t>
      </w:r>
      <w:r>
        <w:rPr>
          <w:rFonts w:cs="Calibri"/>
        </w:rPr>
        <w:t xml:space="preserve"> </w:t>
      </w:r>
    </w:p>
    <w:p w14:paraId="6E800C94" w14:textId="77777777" w:rsidR="001F6EB4" w:rsidRDefault="00000000">
      <w:pPr>
        <w:pStyle w:val="Heading1"/>
        <w:tabs>
          <w:tab w:val="center" w:pos="587"/>
          <w:tab w:val="center" w:pos="1617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TGE Unlock:</w:t>
      </w:r>
      <w:r>
        <w:rPr>
          <w:b w:val="0"/>
        </w:rPr>
        <w:t xml:space="preserve"> 7.5% </w:t>
      </w:r>
    </w:p>
    <w:p w14:paraId="416F6973" w14:textId="77777777" w:rsidR="001F6EB4" w:rsidRDefault="00000000">
      <w:pPr>
        <w:numPr>
          <w:ilvl w:val="0"/>
          <w:numId w:val="5"/>
        </w:numPr>
        <w:ind w:hanging="360"/>
      </w:pPr>
      <w:r>
        <w:rPr>
          <w:rFonts w:cs="Calibri"/>
          <w:b/>
        </w:rPr>
        <w:t>Cliff:</w:t>
      </w:r>
      <w:r>
        <w:t xml:space="preserve"> 3 months</w:t>
      </w:r>
      <w:r>
        <w:rPr>
          <w:rFonts w:cs="Calibri"/>
        </w:rPr>
        <w:t xml:space="preserve"> </w:t>
      </w:r>
    </w:p>
    <w:p w14:paraId="6A2D38F7" w14:textId="77777777" w:rsidR="001F6EB4" w:rsidRDefault="00000000">
      <w:pPr>
        <w:numPr>
          <w:ilvl w:val="0"/>
          <w:numId w:val="5"/>
        </w:numPr>
        <w:ind w:hanging="360"/>
      </w:pPr>
      <w:r>
        <w:rPr>
          <w:rFonts w:cs="Calibri"/>
          <w:b/>
        </w:rPr>
        <w:t>Remaining:</w:t>
      </w:r>
      <w:r>
        <w:t xml:space="preserve"> Linear vesting over 18 months</w:t>
      </w:r>
      <w:r>
        <w:rPr>
          <w:rFonts w:cs="Calibri"/>
        </w:rPr>
        <w:t xml:space="preserve"> </w:t>
      </w:r>
    </w:p>
    <w:p w14:paraId="63EF53EA" w14:textId="77777777" w:rsidR="001F6EB4" w:rsidRDefault="00000000">
      <w:pPr>
        <w:spacing w:after="21" w:line="259" w:lineRule="auto"/>
        <w:ind w:left="901" w:firstLine="0"/>
      </w:pPr>
      <w:r>
        <w:rPr>
          <w:rFonts w:cs="Calibri"/>
        </w:rPr>
        <w:t xml:space="preserve"> </w:t>
      </w:r>
    </w:p>
    <w:p w14:paraId="6F731F55" w14:textId="77777777" w:rsidR="001F6EB4" w:rsidRDefault="00000000">
      <w:pPr>
        <w:spacing w:after="8"/>
        <w:ind w:left="461"/>
      </w:pPr>
      <w:r>
        <w:rPr>
          <w:rFonts w:cs="Calibri"/>
          <w:b/>
        </w:rPr>
        <w:t xml:space="preserve">5.3 Strategic / Private Investors </w:t>
      </w:r>
    </w:p>
    <w:p w14:paraId="2E85EC3A" w14:textId="77777777" w:rsidR="001F6EB4" w:rsidRDefault="00000000">
      <w:pPr>
        <w:numPr>
          <w:ilvl w:val="0"/>
          <w:numId w:val="5"/>
        </w:numPr>
        <w:ind w:hanging="360"/>
      </w:pPr>
      <w:r>
        <w:rPr>
          <w:rFonts w:cs="Calibri"/>
          <w:b/>
        </w:rPr>
        <w:t>Instrument:</w:t>
      </w:r>
      <w:r>
        <w:t xml:space="preserve"> Locked Base token</w:t>
      </w:r>
      <w:r>
        <w:rPr>
          <w:rFonts w:cs="Calibri"/>
        </w:rPr>
        <w:t xml:space="preserve"> </w:t>
      </w:r>
    </w:p>
    <w:p w14:paraId="62C43992" w14:textId="77777777" w:rsidR="001F6EB4" w:rsidRDefault="00000000">
      <w:pPr>
        <w:pStyle w:val="Heading1"/>
        <w:tabs>
          <w:tab w:val="center" w:pos="587"/>
          <w:tab w:val="center" w:pos="1592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TGE Unlock:</w:t>
      </w:r>
      <w:r>
        <w:rPr>
          <w:b w:val="0"/>
        </w:rPr>
        <w:t xml:space="preserve"> 10% </w:t>
      </w:r>
    </w:p>
    <w:p w14:paraId="1CE18157" w14:textId="77777777" w:rsidR="001F6EB4" w:rsidRDefault="00000000">
      <w:pPr>
        <w:numPr>
          <w:ilvl w:val="0"/>
          <w:numId w:val="6"/>
        </w:numPr>
        <w:ind w:hanging="360"/>
      </w:pPr>
      <w:r>
        <w:rPr>
          <w:rFonts w:cs="Calibri"/>
          <w:b/>
        </w:rPr>
        <w:t>Cliff:</w:t>
      </w:r>
      <w:r>
        <w:t xml:space="preserve"> 3 months</w:t>
      </w:r>
      <w:r>
        <w:rPr>
          <w:rFonts w:cs="Calibri"/>
        </w:rPr>
        <w:t xml:space="preserve"> </w:t>
      </w:r>
    </w:p>
    <w:p w14:paraId="122B9E48" w14:textId="77777777" w:rsidR="001F6EB4" w:rsidRDefault="00000000">
      <w:pPr>
        <w:numPr>
          <w:ilvl w:val="0"/>
          <w:numId w:val="6"/>
        </w:numPr>
        <w:ind w:hanging="360"/>
      </w:pPr>
      <w:r>
        <w:rPr>
          <w:rFonts w:cs="Calibri"/>
          <w:b/>
        </w:rPr>
        <w:t>Remaining:</w:t>
      </w:r>
      <w:r>
        <w:t xml:space="preserve"> Linear vesting over 12–18 months (round-specific)</w:t>
      </w:r>
      <w:r>
        <w:rPr>
          <w:rFonts w:cs="Calibri"/>
        </w:rPr>
        <w:t xml:space="preserve"> </w:t>
      </w:r>
    </w:p>
    <w:p w14:paraId="2E63E20F" w14:textId="77777777" w:rsidR="001F6EB4" w:rsidRDefault="00000000">
      <w:pPr>
        <w:spacing w:after="21" w:line="259" w:lineRule="auto"/>
        <w:ind w:left="901" w:firstLine="0"/>
      </w:pPr>
      <w:r>
        <w:rPr>
          <w:rFonts w:cs="Calibri"/>
        </w:rPr>
        <w:t xml:space="preserve"> </w:t>
      </w:r>
    </w:p>
    <w:p w14:paraId="48E4323D" w14:textId="77777777" w:rsidR="001F6EB4" w:rsidRDefault="00000000">
      <w:pPr>
        <w:spacing w:after="8"/>
        <w:ind w:left="461"/>
      </w:pPr>
      <w:r>
        <w:rPr>
          <w:rFonts w:cs="Calibri"/>
          <w:b/>
        </w:rPr>
        <w:t xml:space="preserve">5.4 Public Sale Participants </w:t>
      </w:r>
    </w:p>
    <w:p w14:paraId="7568315D" w14:textId="77777777" w:rsidR="001F6EB4" w:rsidRDefault="00000000">
      <w:pPr>
        <w:numPr>
          <w:ilvl w:val="0"/>
          <w:numId w:val="6"/>
        </w:numPr>
        <w:ind w:hanging="360"/>
      </w:pPr>
      <w:r>
        <w:rPr>
          <w:rFonts w:cs="Calibri"/>
          <w:b/>
        </w:rPr>
        <w:t>Instrument:</w:t>
      </w:r>
      <w:r>
        <w:t xml:space="preserve"> Locked Base token</w:t>
      </w:r>
      <w:r>
        <w:rPr>
          <w:rFonts w:cs="Calibri"/>
        </w:rPr>
        <w:t xml:space="preserve"> </w:t>
      </w:r>
    </w:p>
    <w:p w14:paraId="393AA982" w14:textId="77777777" w:rsidR="001F6EB4" w:rsidRDefault="00000000">
      <w:pPr>
        <w:pStyle w:val="Heading1"/>
        <w:tabs>
          <w:tab w:val="center" w:pos="587"/>
          <w:tab w:val="center" w:pos="1742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TGE Unlock:</w:t>
      </w:r>
      <w:r>
        <w:rPr>
          <w:b w:val="0"/>
        </w:rPr>
        <w:t xml:space="preserve"> 15–20% </w:t>
      </w:r>
    </w:p>
    <w:p w14:paraId="1A85A949" w14:textId="77777777" w:rsidR="001F6EB4" w:rsidRDefault="00000000">
      <w:pPr>
        <w:tabs>
          <w:tab w:val="center" w:pos="587"/>
          <w:tab w:val="center" w:pos="2560"/>
        </w:tabs>
        <w:ind w:lef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Calibri"/>
          <w:b/>
        </w:rPr>
        <w:t>Remaining:</w:t>
      </w:r>
      <w:r>
        <w:t xml:space="preserve"> Linear vesting over 6 months</w:t>
      </w:r>
      <w:r>
        <w:rPr>
          <w:rFonts w:cs="Calibri"/>
        </w:rPr>
        <w:t xml:space="preserve"> </w:t>
      </w:r>
    </w:p>
    <w:p w14:paraId="14BC0CD2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  <w:b/>
        </w:rPr>
        <w:lastRenderedPageBreak/>
        <w:t xml:space="preserve"> </w:t>
      </w:r>
    </w:p>
    <w:p w14:paraId="0D4489B7" w14:textId="77777777" w:rsidR="001F6EB4" w:rsidRDefault="00000000">
      <w:pPr>
        <w:spacing w:after="110"/>
        <w:ind w:left="-5" w:right="5368"/>
      </w:pPr>
      <w:r>
        <w:rPr>
          <w:rFonts w:cs="Calibri"/>
          <w:b/>
        </w:rPr>
        <w:t>All sale participants are subject to lockups.</w:t>
      </w:r>
      <w:r>
        <w:rPr>
          <w:rFonts w:cs="Calibri"/>
        </w:rPr>
        <w:t xml:space="preserve"> </w:t>
      </w:r>
      <w:r>
        <w:t>There are no unrestricted early allocations.</w:t>
      </w:r>
      <w:r>
        <w:rPr>
          <w:rFonts w:cs="Calibri"/>
        </w:rPr>
        <w:t xml:space="preserve"> </w:t>
      </w:r>
    </w:p>
    <w:p w14:paraId="1963F884" w14:textId="77777777" w:rsidR="001F6EB4" w:rsidRDefault="00000000">
      <w:pPr>
        <w:spacing w:after="0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203E6ADA" wp14:editId="1595E35F">
                <wp:extent cx="5946204" cy="6350"/>
                <wp:effectExtent l="0" t="0" r="0" b="0"/>
                <wp:docPr id="8248" name="Group 8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288" name="Shape 928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" name="Shape 9289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" name="Shape 9290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1" name="Shape 92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2" name="Shape 9292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3" name="Shape 9293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8" style="width:468.205pt;height:0.5pt;mso-position-horizontal-relative:char;mso-position-vertical-relative:line" coordsize="59462,63">
                <v:shape id="Shape 929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95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96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9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98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299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2B419AEC" w14:textId="77777777" w:rsidR="001F6EB4" w:rsidRDefault="00000000">
      <w:pPr>
        <w:spacing w:after="8"/>
        <w:ind w:left="-5"/>
      </w:pPr>
      <w:r>
        <w:rPr>
          <w:rFonts w:cs="Calibri"/>
          <w:b/>
        </w:rPr>
        <w:t xml:space="preserve">6. Team &amp; Support Vesting </w:t>
      </w:r>
    </w:p>
    <w:p w14:paraId="0EE127B4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6EBCE14E" w14:textId="77777777" w:rsidR="001F6EB4" w:rsidRDefault="00000000">
      <w:pPr>
        <w:spacing w:after="31"/>
        <w:ind w:left="-5"/>
      </w:pPr>
      <w:r>
        <w:rPr>
          <w:rFonts w:cs="Calibri"/>
          <w:b/>
        </w:rPr>
        <w:t xml:space="preserve">Allocation </w:t>
      </w:r>
    </w:p>
    <w:p w14:paraId="5F1C6106" w14:textId="77777777" w:rsidR="001F6EB4" w:rsidRDefault="00000000">
      <w:pPr>
        <w:tabs>
          <w:tab w:val="center" w:pos="407"/>
          <w:tab w:val="center" w:pos="2008"/>
        </w:tabs>
        <w:ind w:lef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Calibri"/>
          <w:b/>
        </w:rPr>
        <w:t>Total:</w:t>
      </w:r>
      <w:r>
        <w:t xml:space="preserve"> 540,000,000 SNRG (4.5%)</w:t>
      </w:r>
      <w:r>
        <w:rPr>
          <w:rFonts w:cs="Calibri"/>
        </w:rPr>
        <w:t xml:space="preserve"> </w:t>
      </w:r>
    </w:p>
    <w:p w14:paraId="5EC30E67" w14:textId="77777777" w:rsidR="001F6EB4" w:rsidRDefault="00000000">
      <w:pPr>
        <w:spacing w:after="17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7C0C5C7B" w14:textId="77777777" w:rsidR="001F6EB4" w:rsidRDefault="00000000">
      <w:pPr>
        <w:pStyle w:val="Heading1"/>
        <w:ind w:left="-5"/>
      </w:pPr>
      <w:r>
        <w:t xml:space="preserve">Vesting Schedule </w:t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TGE Unlock:</w:t>
      </w:r>
      <w:r>
        <w:rPr>
          <w:b w:val="0"/>
        </w:rPr>
        <w:t xml:space="preserve"> 20% </w:t>
      </w:r>
    </w:p>
    <w:p w14:paraId="0144DD70" w14:textId="77777777" w:rsidR="001F6EB4" w:rsidRDefault="00000000">
      <w:pPr>
        <w:numPr>
          <w:ilvl w:val="0"/>
          <w:numId w:val="7"/>
        </w:numPr>
        <w:ind w:hanging="360"/>
      </w:pPr>
      <w:r>
        <w:rPr>
          <w:rFonts w:cs="Calibri"/>
          <w:b/>
        </w:rPr>
        <w:t>Cliff:</w:t>
      </w:r>
      <w:r>
        <w:t xml:space="preserve"> 12 months</w:t>
      </w:r>
      <w:r>
        <w:rPr>
          <w:rFonts w:cs="Calibri"/>
        </w:rPr>
        <w:t xml:space="preserve"> </w:t>
      </w:r>
    </w:p>
    <w:p w14:paraId="49EFC3D0" w14:textId="77777777" w:rsidR="001F6EB4" w:rsidRDefault="00000000">
      <w:pPr>
        <w:numPr>
          <w:ilvl w:val="0"/>
          <w:numId w:val="7"/>
        </w:numPr>
        <w:ind w:hanging="360"/>
      </w:pPr>
      <w:r>
        <w:rPr>
          <w:rFonts w:cs="Calibri"/>
          <w:b/>
        </w:rPr>
        <w:t>Remaining:</w:t>
      </w:r>
      <w:r>
        <w:t xml:space="preserve"> Monthly vesting over 36 months</w:t>
      </w:r>
      <w:r>
        <w:rPr>
          <w:rFonts w:cs="Calibri"/>
        </w:rPr>
        <w:t xml:space="preserve"> </w:t>
      </w:r>
    </w:p>
    <w:p w14:paraId="0E37F043" w14:textId="77777777" w:rsidR="001F6EB4" w:rsidRDefault="00000000">
      <w:pPr>
        <w:pStyle w:val="Heading1"/>
        <w:tabs>
          <w:tab w:val="center" w:pos="407"/>
          <w:tab w:val="center" w:pos="1970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Total Vesting Duration:</w:t>
      </w:r>
      <w:r>
        <w:rPr>
          <w:b w:val="0"/>
        </w:rPr>
        <w:t xml:space="preserve"> 4 years </w:t>
      </w:r>
    </w:p>
    <w:p w14:paraId="1308F649" w14:textId="77777777" w:rsidR="001F6EB4" w:rsidRDefault="00000000">
      <w:pPr>
        <w:spacing w:after="17" w:line="259" w:lineRule="auto"/>
        <w:ind w:left="0" w:firstLine="0"/>
      </w:pPr>
      <w:r>
        <w:rPr>
          <w:rFonts w:cs="Calibri"/>
        </w:rPr>
        <w:t xml:space="preserve"> </w:t>
      </w:r>
    </w:p>
    <w:p w14:paraId="59DD0DFC" w14:textId="77777777" w:rsidR="001F6EB4" w:rsidRDefault="00000000">
      <w:pPr>
        <w:spacing w:after="113"/>
      </w:pPr>
      <w:r>
        <w:t xml:space="preserve">Team tokens vest </w:t>
      </w:r>
      <w:r>
        <w:rPr>
          <w:rFonts w:cs="Calibri"/>
          <w:b/>
        </w:rPr>
        <w:t>more slowly than investor tokens</w:t>
      </w:r>
      <w:r>
        <w:t>, reinforcing long-term accountability and execution alignment.</w:t>
      </w:r>
      <w:r>
        <w:rPr>
          <w:rFonts w:cs="Calibri"/>
        </w:rPr>
        <w:t xml:space="preserve"> </w:t>
      </w:r>
    </w:p>
    <w:p w14:paraId="106E509F" w14:textId="77777777" w:rsidR="001F6EB4" w:rsidRDefault="00000000">
      <w:pPr>
        <w:spacing w:after="136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32407380" wp14:editId="6D9BD3FB">
                <wp:extent cx="5946204" cy="6350"/>
                <wp:effectExtent l="0" t="0" r="0" b="0"/>
                <wp:docPr id="7297" name="Group 7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300" name="Shape 930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7" style="width:468.205pt;height:0.5pt;mso-position-horizontal-relative:char;mso-position-vertical-relative:line" coordsize="59462,63">
                <v:shape id="Shape 930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07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08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10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11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73178F98" w14:textId="77777777" w:rsidR="001F6EB4" w:rsidRDefault="00000000">
      <w:pPr>
        <w:spacing w:after="8"/>
        <w:ind w:left="-5"/>
      </w:pPr>
      <w:r>
        <w:rPr>
          <w:rFonts w:cs="Calibri"/>
          <w:b/>
        </w:rPr>
        <w:t xml:space="preserve">7. Validator &amp; Staking Emissions </w:t>
      </w:r>
    </w:p>
    <w:p w14:paraId="69EC9E05" w14:textId="77777777" w:rsidR="001F6EB4" w:rsidRDefault="00000000">
      <w:pPr>
        <w:spacing w:after="22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57723EC" w14:textId="77777777" w:rsidR="001F6EB4" w:rsidRDefault="00000000">
      <w:pPr>
        <w:spacing w:after="8"/>
        <w:ind w:left="-5"/>
      </w:pPr>
      <w:r>
        <w:rPr>
          <w:rFonts w:cs="Calibri"/>
          <w:b/>
        </w:rPr>
        <w:t xml:space="preserve">Allocation </w:t>
      </w:r>
    </w:p>
    <w:p w14:paraId="36A9E31C" w14:textId="77777777" w:rsidR="001F6EB4" w:rsidRDefault="00000000">
      <w:pPr>
        <w:tabs>
          <w:tab w:val="center" w:pos="407"/>
          <w:tab w:val="center" w:pos="2058"/>
        </w:tabs>
        <w:ind w:lef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Calibri"/>
          <w:b/>
        </w:rPr>
        <w:t>Total:</w:t>
      </w:r>
      <w:r>
        <w:t xml:space="preserve"> 2,400,000,000 SNRG (20%)</w:t>
      </w:r>
      <w:r>
        <w:rPr>
          <w:rFonts w:cs="Calibri"/>
        </w:rPr>
        <w:t xml:space="preserve"> </w:t>
      </w:r>
    </w:p>
    <w:p w14:paraId="2E7A82DD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2CFB1C06" w14:textId="77777777" w:rsidR="001F6EB4" w:rsidRDefault="00000000">
      <w:pPr>
        <w:pStyle w:val="Heading1"/>
        <w:ind w:left="-5"/>
      </w:pPr>
      <w:r>
        <w:t xml:space="preserve">Mechanics </w:t>
      </w:r>
    </w:p>
    <w:p w14:paraId="386ECD73" w14:textId="77777777" w:rsidR="001F6EB4" w:rsidRDefault="00000000">
      <w:pPr>
        <w:numPr>
          <w:ilvl w:val="0"/>
          <w:numId w:val="8"/>
        </w:numPr>
        <w:ind w:hanging="360"/>
      </w:pPr>
      <w:r>
        <w:t>No TGE release</w:t>
      </w:r>
      <w:r>
        <w:rPr>
          <w:rFonts w:cs="Calibri"/>
        </w:rPr>
        <w:t xml:space="preserve"> </w:t>
      </w:r>
    </w:p>
    <w:p w14:paraId="0DCC8242" w14:textId="77777777" w:rsidR="001F6EB4" w:rsidRDefault="00000000">
      <w:pPr>
        <w:numPr>
          <w:ilvl w:val="0"/>
          <w:numId w:val="8"/>
        </w:numPr>
        <w:ind w:hanging="360"/>
      </w:pPr>
      <w:r>
        <w:t>Distributed as staking rewards over multiple years</w:t>
      </w:r>
      <w:r>
        <w:rPr>
          <w:rFonts w:cs="Calibri"/>
        </w:rPr>
        <w:t xml:space="preserve"> </w:t>
      </w:r>
    </w:p>
    <w:p w14:paraId="79ADCA68" w14:textId="77777777" w:rsidR="001F6EB4" w:rsidRDefault="00000000">
      <w:pPr>
        <w:numPr>
          <w:ilvl w:val="0"/>
          <w:numId w:val="8"/>
        </w:numPr>
        <w:ind w:hanging="360"/>
      </w:pPr>
      <w:r>
        <w:t>Emission rates governed by DAO parameters</w:t>
      </w:r>
      <w:r>
        <w:rPr>
          <w:rFonts w:cs="Calibri"/>
        </w:rPr>
        <w:t xml:space="preserve"> </w:t>
      </w:r>
    </w:p>
    <w:p w14:paraId="1B3AECF9" w14:textId="77777777" w:rsidR="001F6EB4" w:rsidRDefault="00000000">
      <w:pPr>
        <w:numPr>
          <w:ilvl w:val="0"/>
          <w:numId w:val="8"/>
        </w:numPr>
        <w:ind w:hanging="360"/>
      </w:pPr>
      <w:r>
        <w:t>Slashing penalties recycle tokens back into the security pool</w:t>
      </w:r>
      <w:r>
        <w:rPr>
          <w:rFonts w:cs="Calibri"/>
        </w:rPr>
        <w:t xml:space="preserve"> </w:t>
      </w:r>
    </w:p>
    <w:p w14:paraId="3EA1C33B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</w:rPr>
        <w:t xml:space="preserve"> </w:t>
      </w:r>
    </w:p>
    <w:p w14:paraId="5ECB7FCE" w14:textId="77777777" w:rsidR="001F6EB4" w:rsidRDefault="00000000">
      <w:pPr>
        <w:spacing w:after="27"/>
      </w:pPr>
      <w:r>
        <w:t>Staking rewards are designed to:</w:t>
      </w:r>
      <w:r>
        <w:rPr>
          <w:rFonts w:cs="Calibri"/>
        </w:rPr>
        <w:t xml:space="preserve"> </w:t>
      </w:r>
    </w:p>
    <w:p w14:paraId="3FF2E5B7" w14:textId="77777777" w:rsidR="001F6EB4" w:rsidRDefault="00000000">
      <w:pPr>
        <w:numPr>
          <w:ilvl w:val="0"/>
          <w:numId w:val="8"/>
        </w:numPr>
        <w:ind w:hanging="360"/>
      </w:pPr>
      <w:r>
        <w:t>Secure the network</w:t>
      </w:r>
      <w:r>
        <w:rPr>
          <w:rFonts w:cs="Calibri"/>
        </w:rPr>
        <w:t xml:space="preserve"> </w:t>
      </w:r>
    </w:p>
    <w:p w14:paraId="64637C30" w14:textId="77777777" w:rsidR="001F6EB4" w:rsidRDefault="00000000">
      <w:pPr>
        <w:numPr>
          <w:ilvl w:val="0"/>
          <w:numId w:val="8"/>
        </w:numPr>
        <w:ind w:hanging="360"/>
      </w:pPr>
      <w:r>
        <w:t>Incentivize long-term participation</w:t>
      </w:r>
      <w:r>
        <w:rPr>
          <w:rFonts w:cs="Calibri"/>
        </w:rPr>
        <w:t xml:space="preserve"> </w:t>
      </w:r>
    </w:p>
    <w:p w14:paraId="57A02E0E" w14:textId="77777777" w:rsidR="001F6EB4" w:rsidRDefault="00000000">
      <w:pPr>
        <w:numPr>
          <w:ilvl w:val="0"/>
          <w:numId w:val="8"/>
        </w:numPr>
        <w:spacing w:after="90"/>
        <w:ind w:hanging="360"/>
      </w:pPr>
      <w:r>
        <w:t>Avoid excessive early inflation</w:t>
      </w:r>
      <w:r>
        <w:rPr>
          <w:rFonts w:cs="Calibri"/>
        </w:rPr>
        <w:t xml:space="preserve"> </w:t>
      </w:r>
    </w:p>
    <w:p w14:paraId="3713A927" w14:textId="77777777" w:rsidR="001F6EB4" w:rsidRDefault="00000000">
      <w:pPr>
        <w:spacing w:after="136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0E204643" wp14:editId="07343868">
                <wp:extent cx="5946204" cy="6350"/>
                <wp:effectExtent l="0" t="0" r="0" b="0"/>
                <wp:docPr id="7298" name="Group 7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312" name="Shape 931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4" name="Shape 9314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5" name="Shape 931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8" style="width:468.205pt;height:0.5pt;mso-position-horizontal-relative:char;mso-position-vertical-relative:line" coordsize="59462,63">
                <v:shape id="Shape 931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19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20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22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23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084CFD63" w14:textId="77777777" w:rsidR="001F6EB4" w:rsidRDefault="00000000">
      <w:pPr>
        <w:spacing w:after="8"/>
        <w:ind w:left="-5"/>
      </w:pPr>
      <w:r>
        <w:rPr>
          <w:rFonts w:cs="Calibri"/>
          <w:b/>
        </w:rPr>
        <w:t xml:space="preserve">8. Liquidity &amp; Market Infrastructure </w:t>
      </w:r>
    </w:p>
    <w:p w14:paraId="0CA165A2" w14:textId="77777777" w:rsidR="001F6EB4" w:rsidRDefault="00000000">
      <w:pPr>
        <w:spacing w:after="17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26C4A0D7" w14:textId="77777777" w:rsidR="001F6EB4" w:rsidRDefault="00000000">
      <w:pPr>
        <w:spacing w:after="31"/>
        <w:ind w:left="-5"/>
      </w:pPr>
      <w:r>
        <w:rPr>
          <w:rFonts w:cs="Calibri"/>
          <w:b/>
        </w:rPr>
        <w:t xml:space="preserve">Allocation </w:t>
      </w:r>
    </w:p>
    <w:p w14:paraId="605B194B" w14:textId="77777777" w:rsidR="001F6EB4" w:rsidRDefault="00000000">
      <w:pPr>
        <w:tabs>
          <w:tab w:val="center" w:pos="407"/>
          <w:tab w:val="center" w:pos="2058"/>
        </w:tabs>
        <w:ind w:lef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Calibri"/>
          <w:b/>
        </w:rPr>
        <w:t>Total:</w:t>
      </w:r>
      <w:r>
        <w:t xml:space="preserve"> 1,200,000,000 SNRG (10%)</w:t>
      </w:r>
      <w:r>
        <w:rPr>
          <w:rFonts w:cs="Calibri"/>
        </w:rPr>
        <w:t xml:space="preserve"> </w:t>
      </w:r>
    </w:p>
    <w:p w14:paraId="21E62D23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165E57DB" w14:textId="77777777" w:rsidR="001F6EB4" w:rsidRDefault="00000000">
      <w:pPr>
        <w:pStyle w:val="Heading1"/>
        <w:spacing w:after="31"/>
        <w:ind w:left="-5"/>
      </w:pPr>
      <w:r>
        <w:t xml:space="preserve">Usage </w:t>
      </w:r>
    </w:p>
    <w:p w14:paraId="3C5D329E" w14:textId="77777777" w:rsidR="001F6EB4" w:rsidRDefault="00000000">
      <w:pPr>
        <w:numPr>
          <w:ilvl w:val="0"/>
          <w:numId w:val="9"/>
        </w:numPr>
        <w:ind w:hanging="360"/>
      </w:pPr>
      <w:r>
        <w:t>DEX liquidity provisioning</w:t>
      </w:r>
      <w:r>
        <w:rPr>
          <w:rFonts w:cs="Calibri"/>
        </w:rPr>
        <w:t xml:space="preserve"> </w:t>
      </w:r>
    </w:p>
    <w:p w14:paraId="5E6BAADE" w14:textId="77777777" w:rsidR="001F6EB4" w:rsidRDefault="00000000">
      <w:pPr>
        <w:numPr>
          <w:ilvl w:val="0"/>
          <w:numId w:val="9"/>
        </w:numPr>
        <w:ind w:hanging="360"/>
      </w:pPr>
      <w:r>
        <w:t>CEX market-making agreements</w:t>
      </w:r>
      <w:r>
        <w:rPr>
          <w:rFonts w:cs="Calibri"/>
        </w:rPr>
        <w:t xml:space="preserve"> </w:t>
      </w:r>
    </w:p>
    <w:p w14:paraId="6386EDD3" w14:textId="77777777" w:rsidR="001F6EB4" w:rsidRDefault="00000000">
      <w:pPr>
        <w:numPr>
          <w:ilvl w:val="0"/>
          <w:numId w:val="9"/>
        </w:numPr>
        <w:ind w:hanging="360"/>
      </w:pPr>
      <w:r>
        <w:t>Cross-chain liquidity support</w:t>
      </w:r>
      <w:r>
        <w:rPr>
          <w:rFonts w:cs="Calibri"/>
        </w:rPr>
        <w:t xml:space="preserve"> </w:t>
      </w:r>
    </w:p>
    <w:p w14:paraId="4A5E9610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</w:rPr>
        <w:t xml:space="preserve"> </w:t>
      </w:r>
    </w:p>
    <w:p w14:paraId="29AFB88F" w14:textId="77777777" w:rsidR="001F6EB4" w:rsidRDefault="00000000">
      <w:pPr>
        <w:spacing w:after="104"/>
        <w:ind w:right="3722"/>
      </w:pPr>
      <w:r>
        <w:lastRenderedPageBreak/>
        <w:t xml:space="preserve">Tokens are deployed </w:t>
      </w:r>
      <w:r>
        <w:rPr>
          <w:rFonts w:cs="Calibri"/>
          <w:b/>
        </w:rPr>
        <w:t>progressively</w:t>
      </w:r>
      <w:r>
        <w:t>, not pre-loaded at launch.</w:t>
      </w:r>
      <w:r>
        <w:rPr>
          <w:rFonts w:cs="Calibri"/>
        </w:rPr>
        <w:t xml:space="preserve"> </w:t>
      </w:r>
      <w:r>
        <w:t>Liquidity actions are governed, transparent, and auditable.</w:t>
      </w:r>
      <w:r>
        <w:rPr>
          <w:rFonts w:cs="Calibri"/>
        </w:rPr>
        <w:t xml:space="preserve"> </w:t>
      </w:r>
    </w:p>
    <w:p w14:paraId="55480A22" w14:textId="77777777" w:rsidR="001F6EB4" w:rsidRDefault="00000000">
      <w:pPr>
        <w:spacing w:after="0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7964ACDE" wp14:editId="2648BE9B">
                <wp:extent cx="5946204" cy="6350"/>
                <wp:effectExtent l="0" t="0" r="0" b="0"/>
                <wp:docPr id="7299" name="Group 7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324" name="Shape 932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7" name="Shape 93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8" name="Shape 9328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9" style="width:468.205pt;height:0.5pt;mso-position-horizontal-relative:char;mso-position-vertical-relative:line" coordsize="59462,63">
                <v:shape id="Shape 933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31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32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34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35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47B99F6E" w14:textId="77777777" w:rsidR="001F6EB4" w:rsidRDefault="00000000">
      <w:pPr>
        <w:spacing w:after="8"/>
        <w:ind w:left="-5"/>
      </w:pPr>
      <w:r>
        <w:rPr>
          <w:rFonts w:cs="Calibri"/>
          <w:b/>
        </w:rPr>
        <w:t xml:space="preserve">9. Ecosystem, DAO, and Treasury Controls </w:t>
      </w:r>
    </w:p>
    <w:p w14:paraId="37261A13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4BC31FF2" w14:textId="77777777" w:rsidR="001F6EB4" w:rsidRDefault="00000000">
      <w:pPr>
        <w:pStyle w:val="Heading1"/>
        <w:spacing w:after="31"/>
        <w:ind w:left="-5"/>
      </w:pPr>
      <w:r>
        <w:t xml:space="preserve">Ecosystem / Developer Incentives </w:t>
      </w:r>
    </w:p>
    <w:p w14:paraId="17AD66FA" w14:textId="77777777" w:rsidR="001F6EB4" w:rsidRDefault="00000000">
      <w:pPr>
        <w:numPr>
          <w:ilvl w:val="0"/>
          <w:numId w:val="10"/>
        </w:numPr>
        <w:ind w:hanging="360"/>
      </w:pPr>
      <w:r>
        <w:t>Grants, tooling, and infrastructure support</w:t>
      </w:r>
      <w:r>
        <w:rPr>
          <w:rFonts w:cs="Calibri"/>
        </w:rPr>
        <w:t xml:space="preserve"> </w:t>
      </w:r>
    </w:p>
    <w:p w14:paraId="7254330C" w14:textId="77777777" w:rsidR="001F6EB4" w:rsidRDefault="00000000">
      <w:pPr>
        <w:numPr>
          <w:ilvl w:val="0"/>
          <w:numId w:val="10"/>
        </w:numPr>
        <w:ind w:hanging="360"/>
      </w:pPr>
      <w:r>
        <w:t>Released based on measurable contribution milestones</w:t>
      </w:r>
      <w:r>
        <w:rPr>
          <w:rFonts w:cs="Calibri"/>
        </w:rPr>
        <w:t xml:space="preserve"> </w:t>
      </w:r>
    </w:p>
    <w:p w14:paraId="23375656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</w:rPr>
        <w:t xml:space="preserve"> </w:t>
      </w:r>
    </w:p>
    <w:p w14:paraId="1CF7E834" w14:textId="77777777" w:rsidR="001F6EB4" w:rsidRDefault="00000000">
      <w:pPr>
        <w:pStyle w:val="Heading1"/>
        <w:spacing w:after="32"/>
        <w:ind w:left="-5"/>
      </w:pPr>
      <w:r>
        <w:t xml:space="preserve">DAO / Governance Reserve </w:t>
      </w:r>
    </w:p>
    <w:p w14:paraId="6D93C6E3" w14:textId="77777777" w:rsidR="001F6EB4" w:rsidRDefault="00000000">
      <w:pPr>
        <w:numPr>
          <w:ilvl w:val="0"/>
          <w:numId w:val="11"/>
        </w:numPr>
        <w:ind w:hanging="360"/>
      </w:pPr>
      <w:r>
        <w:t>Protocol upgrades</w:t>
      </w:r>
      <w:r>
        <w:rPr>
          <w:rFonts w:cs="Calibri"/>
        </w:rPr>
        <w:t xml:space="preserve"> </w:t>
      </w:r>
    </w:p>
    <w:p w14:paraId="5941F4EA" w14:textId="77777777" w:rsidR="001F6EB4" w:rsidRDefault="00000000">
      <w:pPr>
        <w:numPr>
          <w:ilvl w:val="0"/>
          <w:numId w:val="11"/>
        </w:numPr>
        <w:ind w:hanging="360"/>
      </w:pPr>
      <w:r>
        <w:t>Emergency actions</w:t>
      </w:r>
      <w:r>
        <w:rPr>
          <w:rFonts w:cs="Calibri"/>
        </w:rPr>
        <w:t xml:space="preserve"> </w:t>
      </w:r>
    </w:p>
    <w:p w14:paraId="525D97FD" w14:textId="77777777" w:rsidR="001F6EB4" w:rsidRDefault="00000000">
      <w:pPr>
        <w:numPr>
          <w:ilvl w:val="0"/>
          <w:numId w:val="11"/>
        </w:numPr>
        <w:ind w:hanging="360"/>
      </w:pPr>
      <w:r>
        <w:t>Long-term governance initiatives</w:t>
      </w:r>
      <w:r>
        <w:rPr>
          <w:rFonts w:cs="Calibri"/>
        </w:rPr>
        <w:t xml:space="preserve"> </w:t>
      </w:r>
    </w:p>
    <w:p w14:paraId="6B9C9CB9" w14:textId="77777777" w:rsidR="001F6EB4" w:rsidRDefault="00000000">
      <w:pPr>
        <w:spacing w:after="17" w:line="259" w:lineRule="auto"/>
        <w:ind w:left="0" w:firstLine="0"/>
      </w:pPr>
      <w:r>
        <w:rPr>
          <w:rFonts w:cs="Calibri"/>
        </w:rPr>
        <w:t xml:space="preserve"> </w:t>
      </w:r>
    </w:p>
    <w:p w14:paraId="723560E9" w14:textId="77777777" w:rsidR="001F6EB4" w:rsidRDefault="00000000">
      <w:pPr>
        <w:pStyle w:val="Heading1"/>
        <w:spacing w:after="32"/>
        <w:ind w:left="-5"/>
      </w:pPr>
      <w:r>
        <w:t xml:space="preserve">Foundation / Treasury </w:t>
      </w:r>
    </w:p>
    <w:p w14:paraId="04D3C6A8" w14:textId="77777777" w:rsidR="001F6EB4" w:rsidRDefault="00000000">
      <w:pPr>
        <w:numPr>
          <w:ilvl w:val="0"/>
          <w:numId w:val="12"/>
        </w:numPr>
        <w:ind w:hanging="360"/>
      </w:pPr>
      <w:r>
        <w:t>Operational runway</w:t>
      </w:r>
      <w:r>
        <w:rPr>
          <w:rFonts w:cs="Calibri"/>
        </w:rPr>
        <w:t xml:space="preserve"> </w:t>
      </w:r>
    </w:p>
    <w:p w14:paraId="4B78BFD2" w14:textId="77777777" w:rsidR="001F6EB4" w:rsidRDefault="00000000">
      <w:pPr>
        <w:numPr>
          <w:ilvl w:val="0"/>
          <w:numId w:val="12"/>
        </w:numPr>
        <w:ind w:hanging="360"/>
      </w:pPr>
      <w:r>
        <w:t>Legal, compliance, and research expenses</w:t>
      </w:r>
      <w:r>
        <w:rPr>
          <w:rFonts w:cs="Calibri"/>
        </w:rPr>
        <w:t xml:space="preserve"> </w:t>
      </w:r>
    </w:p>
    <w:p w14:paraId="7263BC3E" w14:textId="77777777" w:rsidR="001F6EB4" w:rsidRDefault="00000000">
      <w:pPr>
        <w:numPr>
          <w:ilvl w:val="0"/>
          <w:numId w:val="12"/>
        </w:numPr>
        <w:ind w:hanging="360"/>
      </w:pPr>
      <w:r>
        <w:t>Infrastructure and security investment</w:t>
      </w:r>
      <w:r>
        <w:rPr>
          <w:rFonts w:cs="Calibri"/>
        </w:rPr>
        <w:t xml:space="preserve"> </w:t>
      </w:r>
    </w:p>
    <w:p w14:paraId="7739985F" w14:textId="77777777" w:rsidR="001F6EB4" w:rsidRDefault="00000000">
      <w:pPr>
        <w:spacing w:after="17" w:line="259" w:lineRule="auto"/>
        <w:ind w:left="0" w:firstLine="0"/>
      </w:pPr>
      <w:r>
        <w:rPr>
          <w:rFonts w:cs="Calibri"/>
        </w:rPr>
        <w:t xml:space="preserve"> </w:t>
      </w:r>
    </w:p>
    <w:p w14:paraId="77976C78" w14:textId="77777777" w:rsidR="001F6EB4" w:rsidRDefault="00000000">
      <w:pPr>
        <w:spacing w:after="113"/>
      </w:pPr>
      <w:r>
        <w:t>All are subject to governance oversight and multi-sig controls.</w:t>
      </w:r>
      <w:r>
        <w:rPr>
          <w:rFonts w:cs="Calibri"/>
        </w:rPr>
        <w:t xml:space="preserve"> </w:t>
      </w:r>
    </w:p>
    <w:p w14:paraId="07293075" w14:textId="77777777" w:rsidR="001F6EB4" w:rsidRDefault="00000000">
      <w:pPr>
        <w:spacing w:after="136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4FC500D2" wp14:editId="53BD6130">
                <wp:extent cx="5946204" cy="6350"/>
                <wp:effectExtent l="0" t="0" r="0" b="0"/>
                <wp:docPr id="7178" name="Group 7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336" name="Shape 933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8" style="width:468.205pt;height:0.5pt;mso-position-horizontal-relative:char;mso-position-vertical-relative:line" coordsize="59462,63">
                <v:shape id="Shape 93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3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44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6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47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5234AB87" w14:textId="77777777" w:rsidR="001F6EB4" w:rsidRDefault="00000000">
      <w:pPr>
        <w:pStyle w:val="Heading1"/>
        <w:ind w:left="-5"/>
      </w:pPr>
      <w:r>
        <w:t xml:space="preserve">10. Circulating Supply Discipline </w:t>
      </w:r>
    </w:p>
    <w:p w14:paraId="49A54EA2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65C6689A" w14:textId="77777777" w:rsidR="001F6EB4" w:rsidRDefault="00000000">
      <w:pPr>
        <w:spacing w:after="27"/>
      </w:pPr>
      <w:r>
        <w:t>At network launch and public listing:</w:t>
      </w:r>
      <w:r>
        <w:rPr>
          <w:rFonts w:cs="Calibri"/>
        </w:rPr>
        <w:t xml:space="preserve"> </w:t>
      </w:r>
    </w:p>
    <w:p w14:paraId="07A7CE4A" w14:textId="77777777" w:rsidR="001F6EB4" w:rsidRDefault="00000000">
      <w:pPr>
        <w:numPr>
          <w:ilvl w:val="0"/>
          <w:numId w:val="13"/>
        </w:numPr>
        <w:ind w:hanging="360"/>
      </w:pPr>
      <w:r>
        <w:t xml:space="preserve">Majority of total supply remains </w:t>
      </w:r>
      <w:r>
        <w:rPr>
          <w:rFonts w:cs="Calibri"/>
          <w:b/>
        </w:rPr>
        <w:t>non-circulating</w:t>
      </w:r>
      <w:r>
        <w:rPr>
          <w:rFonts w:cs="Calibri"/>
        </w:rPr>
        <w:t xml:space="preserve"> </w:t>
      </w:r>
    </w:p>
    <w:p w14:paraId="4BA1A767" w14:textId="77777777" w:rsidR="001F6EB4" w:rsidRDefault="00000000">
      <w:pPr>
        <w:numPr>
          <w:ilvl w:val="0"/>
          <w:numId w:val="13"/>
        </w:numPr>
        <w:ind w:hanging="360"/>
      </w:pPr>
      <w:r>
        <w:t>Early sale tokens are locked</w:t>
      </w:r>
      <w:r>
        <w:rPr>
          <w:rFonts w:cs="Calibri"/>
        </w:rPr>
        <w:t xml:space="preserve"> </w:t>
      </w:r>
    </w:p>
    <w:p w14:paraId="139FEEF1" w14:textId="77777777" w:rsidR="001F6EB4" w:rsidRDefault="00000000">
      <w:pPr>
        <w:numPr>
          <w:ilvl w:val="0"/>
          <w:numId w:val="13"/>
        </w:numPr>
        <w:ind w:hanging="360"/>
      </w:pPr>
      <w:r>
        <w:t xml:space="preserve">Team allocation is fully </w:t>
      </w:r>
      <w:proofErr w:type="spellStart"/>
      <w:r>
        <w:t>cliffed</w:t>
      </w:r>
      <w:proofErr w:type="spellEnd"/>
      <w:r>
        <w:rPr>
          <w:rFonts w:cs="Calibri"/>
        </w:rPr>
        <w:t xml:space="preserve"> </w:t>
      </w:r>
    </w:p>
    <w:p w14:paraId="799E42D4" w14:textId="77777777" w:rsidR="001F6EB4" w:rsidRDefault="00000000">
      <w:pPr>
        <w:numPr>
          <w:ilvl w:val="0"/>
          <w:numId w:val="13"/>
        </w:numPr>
        <w:ind w:hanging="360"/>
      </w:pPr>
      <w:r>
        <w:t>Validator emissions are not yet active</w:t>
      </w:r>
      <w:r>
        <w:rPr>
          <w:rFonts w:cs="Calibri"/>
        </w:rPr>
        <w:t xml:space="preserve"> </w:t>
      </w:r>
    </w:p>
    <w:p w14:paraId="4776B075" w14:textId="77777777" w:rsidR="001F6EB4" w:rsidRDefault="00000000">
      <w:pPr>
        <w:spacing w:after="21" w:line="259" w:lineRule="auto"/>
        <w:ind w:left="0" w:firstLine="0"/>
      </w:pPr>
      <w:r>
        <w:rPr>
          <w:rFonts w:cs="Calibri"/>
        </w:rPr>
        <w:t xml:space="preserve"> </w:t>
      </w:r>
    </w:p>
    <w:p w14:paraId="2F5C527E" w14:textId="77777777" w:rsidR="001F6EB4" w:rsidRDefault="00000000">
      <w:pPr>
        <w:spacing w:after="27"/>
      </w:pPr>
      <w:r>
        <w:t>This structure ensures:</w:t>
      </w:r>
      <w:r>
        <w:rPr>
          <w:rFonts w:cs="Calibri"/>
        </w:rPr>
        <w:t xml:space="preserve"> </w:t>
      </w:r>
    </w:p>
    <w:p w14:paraId="03D58B63" w14:textId="77777777" w:rsidR="001F6EB4" w:rsidRDefault="00000000">
      <w:pPr>
        <w:numPr>
          <w:ilvl w:val="0"/>
          <w:numId w:val="13"/>
        </w:numPr>
        <w:ind w:hanging="360"/>
      </w:pPr>
      <w:r>
        <w:t>Controlled price discovery</w:t>
      </w:r>
      <w:r>
        <w:rPr>
          <w:rFonts w:cs="Calibri"/>
        </w:rPr>
        <w:t xml:space="preserve"> </w:t>
      </w:r>
    </w:p>
    <w:p w14:paraId="3250FFC0" w14:textId="77777777" w:rsidR="001F6EB4" w:rsidRDefault="00000000">
      <w:pPr>
        <w:numPr>
          <w:ilvl w:val="0"/>
          <w:numId w:val="13"/>
        </w:numPr>
        <w:ind w:hanging="360"/>
      </w:pPr>
      <w:r>
        <w:t>Reduced volatility</w:t>
      </w:r>
      <w:r>
        <w:rPr>
          <w:rFonts w:cs="Calibri"/>
        </w:rPr>
        <w:t xml:space="preserve"> </w:t>
      </w:r>
    </w:p>
    <w:p w14:paraId="687037B9" w14:textId="77777777" w:rsidR="001F6EB4" w:rsidRDefault="00000000">
      <w:pPr>
        <w:numPr>
          <w:ilvl w:val="0"/>
          <w:numId w:val="13"/>
        </w:numPr>
        <w:spacing w:after="90"/>
        <w:ind w:hanging="360"/>
      </w:pPr>
      <w:r>
        <w:t>Predictable supply introduction</w:t>
      </w:r>
      <w:r>
        <w:rPr>
          <w:rFonts w:cs="Calibri"/>
        </w:rPr>
        <w:t xml:space="preserve"> </w:t>
      </w:r>
    </w:p>
    <w:p w14:paraId="34169F48" w14:textId="77777777" w:rsidR="001F6EB4" w:rsidRDefault="00000000">
      <w:pPr>
        <w:spacing w:after="137" w:line="259" w:lineRule="auto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234653AB" wp14:editId="5C0489CE">
                <wp:extent cx="5946204" cy="6350"/>
                <wp:effectExtent l="0" t="0" r="0" b="0"/>
                <wp:docPr id="7179" name="Group 7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9348" name="Shape 934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9" name="Shape 9349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0" name="Shape 9350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1" name="Shape 935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2" name="Shape 9352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3" name="Shape 9353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9" style="width:468.205pt;height:0.5pt;mso-position-horizontal-relative:char;mso-position-vertical-relative:line" coordsize="59462,63">
                <v:shape id="Shape 935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55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56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5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58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359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62E95649" w14:textId="77777777" w:rsidR="001F6EB4" w:rsidRDefault="00000000">
      <w:pPr>
        <w:pStyle w:val="Heading1"/>
        <w:ind w:left="-5"/>
      </w:pPr>
      <w:r>
        <w:t xml:space="preserve">11. Summary </w:t>
      </w:r>
    </w:p>
    <w:p w14:paraId="2CA01326" w14:textId="77777777" w:rsidR="001F6EB4" w:rsidRDefault="00000000">
      <w:pPr>
        <w:spacing w:after="16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140B7079" w14:textId="77777777" w:rsidR="001F6EB4" w:rsidRDefault="00000000">
      <w:pPr>
        <w:spacing w:after="8"/>
        <w:ind w:left="-5"/>
      </w:pPr>
      <w:r>
        <w:t xml:space="preserve">Synergy Network’s </w:t>
      </w:r>
      <w:proofErr w:type="spellStart"/>
      <w:r>
        <w:t>tokenomics</w:t>
      </w:r>
      <w:proofErr w:type="spellEnd"/>
      <w:r>
        <w:t xml:space="preserve"> prioritize </w:t>
      </w:r>
      <w:r>
        <w:rPr>
          <w:rFonts w:cs="Calibri"/>
          <w:b/>
        </w:rPr>
        <w:t>long-term network health over short-term liquidity</w:t>
      </w:r>
      <w:r>
        <w:t>.</w:t>
      </w:r>
      <w:r>
        <w:rPr>
          <w:rFonts w:cs="Calibri"/>
        </w:rPr>
        <w:t xml:space="preserve"> </w:t>
      </w:r>
    </w:p>
    <w:p w14:paraId="15E6995E" w14:textId="77777777" w:rsidR="001F6EB4" w:rsidRDefault="00000000">
      <w:r>
        <w:t>All participants—team, investors, and ecosystem contributors—are aligned through enforced vesting, transparent unlock schedules, and governance-controlled supply mechanisms.</w:t>
      </w:r>
      <w:r>
        <w:rPr>
          <w:rFonts w:cs="Calibri"/>
        </w:rPr>
        <w:t xml:space="preserve"> </w:t>
      </w:r>
    </w:p>
    <w:p w14:paraId="4A966298" w14:textId="77777777" w:rsidR="001F6EB4" w:rsidRDefault="00000000">
      <w:r>
        <w:t>SNRG is engineered to support a durable, decentralized network economy rather than speculative churn.</w:t>
      </w:r>
      <w:r>
        <w:rPr>
          <w:rFonts w:cs="Calibri"/>
        </w:rPr>
        <w:t xml:space="preserve"> </w:t>
      </w:r>
    </w:p>
    <w:p w14:paraId="06514AF2" w14:textId="77777777" w:rsidR="001F6EB4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sectPr w:rsidR="001F6EB4">
      <w:pgSz w:w="12240" w:h="15840"/>
      <w:pgMar w:top="801" w:right="1390" w:bottom="190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DF9"/>
    <w:multiLevelType w:val="hybridMultilevel"/>
    <w:tmpl w:val="2F320674"/>
    <w:lvl w:ilvl="0" w:tplc="D2EC3C0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88897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8619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E495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349F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6629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62EE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80D2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1E00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70AFB"/>
    <w:multiLevelType w:val="hybridMultilevel"/>
    <w:tmpl w:val="03285FF8"/>
    <w:lvl w:ilvl="0" w:tplc="3DC2A6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E8F18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80E8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A0DED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2C42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DE832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D4175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FC763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C0A75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AF211A"/>
    <w:multiLevelType w:val="hybridMultilevel"/>
    <w:tmpl w:val="3A3A3254"/>
    <w:lvl w:ilvl="0" w:tplc="396EBBAE">
      <w:start w:val="1"/>
      <w:numFmt w:val="bullet"/>
      <w:lvlText w:val="•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2E7EBE">
      <w:start w:val="1"/>
      <w:numFmt w:val="bullet"/>
      <w:lvlText w:val="o"/>
      <w:lvlJc w:val="left"/>
      <w:pPr>
        <w:ind w:left="1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2C662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944D68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BADF48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5016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787348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84F6C6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B46B64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8B0BE5"/>
    <w:multiLevelType w:val="hybridMultilevel"/>
    <w:tmpl w:val="F6A6F228"/>
    <w:lvl w:ilvl="0" w:tplc="7D7802F6">
      <w:start w:val="1"/>
      <w:numFmt w:val="bullet"/>
      <w:lvlText w:val="•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F4E43E">
      <w:start w:val="1"/>
      <w:numFmt w:val="bullet"/>
      <w:lvlText w:val="o"/>
      <w:lvlJc w:val="left"/>
      <w:pPr>
        <w:ind w:left="1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6E671E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497EC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361A6E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ACDA4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729BC2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FE6D48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F09E84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791945"/>
    <w:multiLevelType w:val="hybridMultilevel"/>
    <w:tmpl w:val="4BE2942C"/>
    <w:lvl w:ilvl="0" w:tplc="D12AB69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1014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14194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C8AD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00F25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083F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5CAF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BB9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A0E4D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EF5160"/>
    <w:multiLevelType w:val="hybridMultilevel"/>
    <w:tmpl w:val="395E3C06"/>
    <w:lvl w:ilvl="0" w:tplc="269A388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BCED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8CF4D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30D30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782EE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C6EC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7CEF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C027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98D7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53687C"/>
    <w:multiLevelType w:val="hybridMultilevel"/>
    <w:tmpl w:val="6B4E06CA"/>
    <w:lvl w:ilvl="0" w:tplc="EF2C24F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8FCA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5C1CF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08B5F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6CEB0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52E5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7071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3EC9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619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5B6021"/>
    <w:multiLevelType w:val="hybridMultilevel"/>
    <w:tmpl w:val="1A0EF8EC"/>
    <w:lvl w:ilvl="0" w:tplc="2CFAD5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CE6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1C13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C4D7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E245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E94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9AF1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FA3B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84EE8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B00D74"/>
    <w:multiLevelType w:val="hybridMultilevel"/>
    <w:tmpl w:val="86B09A56"/>
    <w:lvl w:ilvl="0" w:tplc="7E0E40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0EF2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F658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C82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23A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A0AD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A2CA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DE202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64275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3A48A3"/>
    <w:multiLevelType w:val="hybridMultilevel"/>
    <w:tmpl w:val="AAC00BDE"/>
    <w:lvl w:ilvl="0" w:tplc="C88E897A">
      <w:start w:val="1"/>
      <w:numFmt w:val="bullet"/>
      <w:lvlText w:val="•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F86A64">
      <w:start w:val="1"/>
      <w:numFmt w:val="bullet"/>
      <w:lvlText w:val="o"/>
      <w:lvlJc w:val="left"/>
      <w:pPr>
        <w:ind w:left="1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16E106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EE5BE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CA73B0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BA73C0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A894C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6A5B4E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E6047C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914A08"/>
    <w:multiLevelType w:val="hybridMultilevel"/>
    <w:tmpl w:val="923C6B18"/>
    <w:lvl w:ilvl="0" w:tplc="EDE403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048D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4098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B48B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6846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ACE88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251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32253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A082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72AA6"/>
    <w:multiLevelType w:val="hybridMultilevel"/>
    <w:tmpl w:val="A98C02D2"/>
    <w:lvl w:ilvl="0" w:tplc="8118051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C436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A4D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56778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8E65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EEFAA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0FFA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CC0B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4273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F2705C"/>
    <w:multiLevelType w:val="hybridMultilevel"/>
    <w:tmpl w:val="918AE4D6"/>
    <w:lvl w:ilvl="0" w:tplc="83F4B5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C0D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543B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0087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5A4A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64C32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4C7A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B8E0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7012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970936">
    <w:abstractNumId w:val="5"/>
  </w:num>
  <w:num w:numId="2" w16cid:durableId="83427340">
    <w:abstractNumId w:val="11"/>
  </w:num>
  <w:num w:numId="3" w16cid:durableId="1956983880">
    <w:abstractNumId w:val="10"/>
  </w:num>
  <w:num w:numId="4" w16cid:durableId="1623876899">
    <w:abstractNumId w:val="3"/>
  </w:num>
  <w:num w:numId="5" w16cid:durableId="285352442">
    <w:abstractNumId w:val="2"/>
  </w:num>
  <w:num w:numId="6" w16cid:durableId="676733383">
    <w:abstractNumId w:val="9"/>
  </w:num>
  <w:num w:numId="7" w16cid:durableId="521209687">
    <w:abstractNumId w:val="7"/>
  </w:num>
  <w:num w:numId="8" w16cid:durableId="304432988">
    <w:abstractNumId w:val="8"/>
  </w:num>
  <w:num w:numId="9" w16cid:durableId="894969329">
    <w:abstractNumId w:val="0"/>
  </w:num>
  <w:num w:numId="10" w16cid:durableId="1896234795">
    <w:abstractNumId w:val="4"/>
  </w:num>
  <w:num w:numId="11" w16cid:durableId="917638667">
    <w:abstractNumId w:val="12"/>
  </w:num>
  <w:num w:numId="12" w16cid:durableId="52046261">
    <w:abstractNumId w:val="1"/>
  </w:num>
  <w:num w:numId="13" w16cid:durableId="1256480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B4"/>
    <w:rsid w:val="001F6EB4"/>
    <w:rsid w:val="00371FE7"/>
    <w:rsid w:val="00CF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ABC84"/>
  <w15:docId w15:val="{F062F3ED-8154-FE42-8AD5-8168E71A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</w:pPr>
    <w:rPr>
      <w:rFonts w:ascii="Calibri" w:eastAsia="Calibri" w:hAnsi="Calibri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70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4171</Characters>
  <Application>Microsoft Office Word</Application>
  <DocSecurity>0</DocSecurity>
  <Lines>194</Lines>
  <Paragraphs>155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cp:lastModifiedBy>Justin Hutzler</cp:lastModifiedBy>
  <cp:revision>2</cp:revision>
  <dcterms:created xsi:type="dcterms:W3CDTF">2026-03-12T14:58:00Z</dcterms:created>
  <dcterms:modified xsi:type="dcterms:W3CDTF">2026-03-12T14:58:00Z</dcterms:modified>
</cp:coreProperties>
</file>